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FF595" w14:textId="77777777" w:rsidR="009770E8" w:rsidRPr="0018213A" w:rsidRDefault="00F0385C">
      <w:pPr>
        <w:pStyle w:val="BodyText"/>
        <w:ind w:left="100"/>
        <w:rPr>
          <w:i w:val="0"/>
          <w:sz w:val="20"/>
        </w:rPr>
      </w:pPr>
      <w:r w:rsidRPr="0018213A">
        <w:rPr>
          <w:i w:val="0"/>
          <w:noProof/>
          <w:sz w:val="20"/>
        </w:rPr>
        <w:drawing>
          <wp:inline distT="0" distB="0" distL="0" distR="0" wp14:anchorId="720C5A9B" wp14:editId="5EFCDB47">
            <wp:extent cx="5825015" cy="61036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5015" cy="610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D1E68" w14:textId="56798260" w:rsidR="009770E8" w:rsidRDefault="009770E8">
      <w:pPr>
        <w:pStyle w:val="BodyText"/>
        <w:spacing w:before="1"/>
        <w:rPr>
          <w:i w:val="0"/>
          <w:sz w:val="12"/>
        </w:rPr>
      </w:pPr>
    </w:p>
    <w:p w14:paraId="0E8B7E0F" w14:textId="43B1390C" w:rsidR="0018213A" w:rsidRDefault="0018213A">
      <w:pPr>
        <w:pStyle w:val="BodyText"/>
        <w:spacing w:before="1"/>
        <w:rPr>
          <w:i w:val="0"/>
          <w:sz w:val="12"/>
        </w:rPr>
      </w:pPr>
    </w:p>
    <w:p w14:paraId="00E64D44" w14:textId="1E2EDD42" w:rsidR="0018213A" w:rsidRDefault="0018213A">
      <w:pPr>
        <w:pStyle w:val="BodyText"/>
        <w:spacing w:before="1"/>
        <w:rPr>
          <w:i w:val="0"/>
          <w:sz w:val="12"/>
        </w:rPr>
      </w:pPr>
    </w:p>
    <w:p w14:paraId="06EADF42" w14:textId="77777777" w:rsidR="0018213A" w:rsidRDefault="0018213A">
      <w:pPr>
        <w:pStyle w:val="BodyText"/>
        <w:spacing w:before="1"/>
        <w:rPr>
          <w:i w:val="0"/>
          <w:sz w:val="12"/>
        </w:rPr>
      </w:pPr>
    </w:p>
    <w:p w14:paraId="147766D8" w14:textId="77777777" w:rsidR="0018213A" w:rsidRPr="0018213A" w:rsidRDefault="0018213A">
      <w:pPr>
        <w:pStyle w:val="BodyText"/>
        <w:spacing w:before="1"/>
        <w:rPr>
          <w:i w:val="0"/>
          <w:sz w:val="12"/>
        </w:rPr>
      </w:pPr>
    </w:p>
    <w:p w14:paraId="376A1BD5" w14:textId="45DF7083" w:rsidR="009770E8" w:rsidRPr="00AB1BC1" w:rsidRDefault="00AB1BC1" w:rsidP="00A123E5">
      <w:pPr>
        <w:spacing w:before="120" w:after="120" w:line="360" w:lineRule="auto"/>
        <w:ind w:left="3015" w:right="2249"/>
        <w:jc w:val="center"/>
        <w:rPr>
          <w:b/>
          <w:sz w:val="24"/>
          <w:szCs w:val="24"/>
          <w:lang w:val="en-US"/>
        </w:rPr>
      </w:pPr>
      <w:r>
        <w:rPr>
          <w:b/>
          <w:spacing w:val="1"/>
          <w:w w:val="97"/>
          <w:sz w:val="24"/>
          <w:szCs w:val="24"/>
          <w:lang w:val="en-US"/>
        </w:rPr>
        <w:t>INTEREST RATE SCHEDULE</w:t>
      </w:r>
    </w:p>
    <w:p w14:paraId="18331E8E" w14:textId="5749928A" w:rsidR="009770E8" w:rsidRPr="00BA5728" w:rsidRDefault="00AB1BC1" w:rsidP="00A123E5">
      <w:pPr>
        <w:pStyle w:val="BodyText"/>
        <w:spacing w:before="120" w:after="120" w:line="360" w:lineRule="auto"/>
        <w:ind w:left="3013" w:right="3017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Applicable from</w:t>
      </w:r>
      <w:r w:rsidR="0018213A" w:rsidRPr="00BA5728">
        <w:rPr>
          <w:sz w:val="20"/>
          <w:szCs w:val="20"/>
          <w:lang w:val="en-US"/>
        </w:rPr>
        <w:t xml:space="preserve"> </w:t>
      </w:r>
      <w:r w:rsidR="00267763">
        <w:rPr>
          <w:sz w:val="20"/>
          <w:szCs w:val="20"/>
          <w:lang w:val="en-US"/>
        </w:rPr>
        <w:t>21/04</w:t>
      </w:r>
      <w:r w:rsidR="0018213A" w:rsidRPr="00BA5728">
        <w:rPr>
          <w:sz w:val="20"/>
          <w:szCs w:val="20"/>
          <w:lang w:val="en-US"/>
        </w:rPr>
        <w:t>/2023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4252"/>
        <w:gridCol w:w="3270"/>
      </w:tblGrid>
      <w:tr w:rsidR="00990A59" w14:paraId="6E10C389" w14:textId="77777777" w:rsidTr="00BA5728">
        <w:trPr>
          <w:trHeight w:val="613"/>
          <w:jc w:val="center"/>
        </w:trPr>
        <w:tc>
          <w:tcPr>
            <w:tcW w:w="988" w:type="dxa"/>
            <w:shd w:val="clear" w:color="auto" w:fill="FFC000"/>
            <w:vAlign w:val="center"/>
          </w:tcPr>
          <w:p w14:paraId="5D3154D5" w14:textId="3010B304" w:rsidR="00990A59" w:rsidRPr="00BA5728" w:rsidRDefault="00AB1BC1" w:rsidP="00BA572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NO.</w:t>
            </w:r>
          </w:p>
        </w:tc>
        <w:tc>
          <w:tcPr>
            <w:tcW w:w="4252" w:type="dxa"/>
            <w:shd w:val="clear" w:color="auto" w:fill="FFC000"/>
            <w:vAlign w:val="center"/>
          </w:tcPr>
          <w:p w14:paraId="48905881" w14:textId="56AA67FE" w:rsidR="00990A59" w:rsidRPr="00BA5728" w:rsidRDefault="00AB1BC1" w:rsidP="00990A5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SERVICES</w:t>
            </w:r>
          </w:p>
        </w:tc>
        <w:tc>
          <w:tcPr>
            <w:tcW w:w="3270" w:type="dxa"/>
            <w:shd w:val="clear" w:color="auto" w:fill="FFC000"/>
            <w:vAlign w:val="center"/>
          </w:tcPr>
          <w:p w14:paraId="64A020A2" w14:textId="2B2D4FA2" w:rsidR="00990A59" w:rsidRPr="00BA5728" w:rsidRDefault="00AB1BC1" w:rsidP="00BA572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DEFAULT FEE</w:t>
            </w:r>
          </w:p>
        </w:tc>
      </w:tr>
      <w:tr w:rsidR="00990A59" w14:paraId="3F5A7303" w14:textId="77777777" w:rsidTr="00990A59">
        <w:trPr>
          <w:jc w:val="center"/>
        </w:trPr>
        <w:tc>
          <w:tcPr>
            <w:tcW w:w="988" w:type="dxa"/>
            <w:vAlign w:val="center"/>
          </w:tcPr>
          <w:p w14:paraId="34358E2A" w14:textId="6ACA2EE9" w:rsidR="00990A59" w:rsidRPr="00990A59" w:rsidRDefault="00990A59" w:rsidP="00990A59">
            <w:pPr>
              <w:spacing w:before="120" w:after="12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252" w:type="dxa"/>
            <w:vAlign w:val="center"/>
          </w:tcPr>
          <w:p w14:paraId="059BAFC9" w14:textId="39BBF729" w:rsidR="00990A59" w:rsidRPr="00990A59" w:rsidRDefault="00AB1BC1" w:rsidP="00990A59">
            <w:pPr>
              <w:spacing w:before="120" w:after="120" w:line="360" w:lineRule="auto"/>
              <w:jc w:val="center"/>
              <w:rPr>
                <w:lang w:val="en-US"/>
              </w:rPr>
            </w:pPr>
            <w:r>
              <w:rPr>
                <w:w w:val="95"/>
                <w:sz w:val="20"/>
                <w:lang w:val="en-US"/>
              </w:rPr>
              <w:t>Cash Advances</w:t>
            </w:r>
            <w:r w:rsidR="00990A59" w:rsidRPr="00990A59">
              <w:rPr>
                <w:w w:val="95"/>
                <w:sz w:val="20"/>
              </w:rPr>
              <w:t xml:space="preserve"> (KB-Advance)</w:t>
            </w:r>
          </w:p>
        </w:tc>
        <w:tc>
          <w:tcPr>
            <w:tcW w:w="3270" w:type="dxa"/>
            <w:vAlign w:val="center"/>
          </w:tcPr>
          <w:p w14:paraId="40B37348" w14:textId="370C19BC" w:rsidR="00990A59" w:rsidRPr="00AB1BC1" w:rsidRDefault="00990A59" w:rsidP="00990A59">
            <w:pPr>
              <w:spacing w:before="120" w:after="120" w:line="360" w:lineRule="auto"/>
              <w:jc w:val="center"/>
              <w:rPr>
                <w:lang w:val="en-US"/>
              </w:rPr>
            </w:pPr>
            <w:r w:rsidRPr="0018213A">
              <w:rPr>
                <w:sz w:val="20"/>
              </w:rPr>
              <w:t>1</w:t>
            </w:r>
            <w:r w:rsidR="00267763">
              <w:rPr>
                <w:sz w:val="20"/>
                <w:lang w:val="en-US"/>
              </w:rPr>
              <w:t>2</w:t>
            </w:r>
            <w:r w:rsidRPr="0018213A">
              <w:rPr>
                <w:sz w:val="20"/>
              </w:rPr>
              <w:t>%/</w:t>
            </w:r>
            <w:r w:rsidR="00AB1BC1">
              <w:rPr>
                <w:sz w:val="20"/>
                <w:lang w:val="en-US"/>
              </w:rPr>
              <w:t>year</w:t>
            </w:r>
          </w:p>
        </w:tc>
      </w:tr>
      <w:tr w:rsidR="00990A59" w14:paraId="296CEC19" w14:textId="77777777" w:rsidTr="00990A59">
        <w:trPr>
          <w:jc w:val="center"/>
        </w:trPr>
        <w:tc>
          <w:tcPr>
            <w:tcW w:w="988" w:type="dxa"/>
            <w:vAlign w:val="center"/>
          </w:tcPr>
          <w:p w14:paraId="46CC465D" w14:textId="71CC42F4" w:rsidR="00990A59" w:rsidRPr="00990A59" w:rsidRDefault="00990A59" w:rsidP="00990A59">
            <w:pPr>
              <w:spacing w:before="120" w:after="12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252" w:type="dxa"/>
            <w:vAlign w:val="center"/>
          </w:tcPr>
          <w:p w14:paraId="25B43E12" w14:textId="39568B2E" w:rsidR="00990A59" w:rsidRPr="00990A59" w:rsidRDefault="00AB1BC1" w:rsidP="00990A59">
            <w:pPr>
              <w:spacing w:before="120" w:after="120" w:line="360" w:lineRule="auto"/>
              <w:jc w:val="center"/>
              <w:rPr>
                <w:lang w:val="en-US"/>
              </w:rPr>
            </w:pPr>
            <w:r>
              <w:rPr>
                <w:spacing w:val="1"/>
                <w:w w:val="96"/>
                <w:sz w:val="20"/>
                <w:lang w:val="en-US"/>
              </w:rPr>
              <w:t>Margin Loan</w:t>
            </w:r>
            <w:r w:rsidR="00990A59">
              <w:rPr>
                <w:spacing w:val="1"/>
                <w:w w:val="96"/>
                <w:sz w:val="20"/>
                <w:lang w:val="en-US"/>
              </w:rPr>
              <w:t xml:space="preserve"> </w:t>
            </w:r>
            <w:r w:rsidR="00990A59" w:rsidRPr="0018213A">
              <w:rPr>
                <w:spacing w:val="2"/>
                <w:w w:val="96"/>
                <w:sz w:val="20"/>
              </w:rPr>
              <w:t>(</w:t>
            </w:r>
            <w:r w:rsidR="00990A59" w:rsidRPr="0018213A">
              <w:rPr>
                <w:spacing w:val="3"/>
                <w:w w:val="96"/>
                <w:sz w:val="20"/>
              </w:rPr>
              <w:t>KB</w:t>
            </w:r>
            <w:r w:rsidR="00990A59" w:rsidRPr="0018213A">
              <w:rPr>
                <w:w w:val="97"/>
                <w:sz w:val="20"/>
              </w:rPr>
              <w:t>-</w:t>
            </w:r>
            <w:r w:rsidR="00990A59" w:rsidRPr="0018213A">
              <w:rPr>
                <w:spacing w:val="1"/>
                <w:w w:val="96"/>
                <w:sz w:val="20"/>
              </w:rPr>
              <w:t>M</w:t>
            </w:r>
            <w:r w:rsidR="00990A59" w:rsidRPr="0018213A">
              <w:rPr>
                <w:spacing w:val="3"/>
                <w:w w:val="96"/>
                <w:sz w:val="20"/>
              </w:rPr>
              <w:t>a</w:t>
            </w:r>
            <w:r w:rsidR="00990A59" w:rsidRPr="0018213A">
              <w:rPr>
                <w:spacing w:val="-1"/>
                <w:w w:val="96"/>
                <w:sz w:val="20"/>
              </w:rPr>
              <w:t>r</w:t>
            </w:r>
            <w:r w:rsidR="00990A59" w:rsidRPr="0018213A">
              <w:rPr>
                <w:spacing w:val="2"/>
                <w:w w:val="96"/>
                <w:sz w:val="20"/>
              </w:rPr>
              <w:t>g</w:t>
            </w:r>
            <w:r w:rsidR="00990A59" w:rsidRPr="0018213A">
              <w:rPr>
                <w:spacing w:val="1"/>
                <w:w w:val="96"/>
                <w:sz w:val="20"/>
              </w:rPr>
              <w:t>i</w:t>
            </w:r>
            <w:r w:rsidR="00990A59" w:rsidRPr="0018213A">
              <w:rPr>
                <w:spacing w:val="2"/>
                <w:w w:val="96"/>
                <w:sz w:val="20"/>
              </w:rPr>
              <w:t>n</w:t>
            </w:r>
            <w:r w:rsidR="00990A59" w:rsidRPr="0018213A">
              <w:rPr>
                <w:w w:val="96"/>
                <w:sz w:val="20"/>
              </w:rPr>
              <w:t>)</w:t>
            </w:r>
          </w:p>
        </w:tc>
        <w:tc>
          <w:tcPr>
            <w:tcW w:w="3270" w:type="dxa"/>
            <w:vAlign w:val="center"/>
          </w:tcPr>
          <w:p w14:paraId="0EBDFBAE" w14:textId="5CA6ECD6" w:rsidR="00990A59" w:rsidRPr="00AB1BC1" w:rsidRDefault="00990A59" w:rsidP="00990A59">
            <w:pPr>
              <w:spacing w:before="120" w:after="120" w:line="360" w:lineRule="auto"/>
              <w:jc w:val="center"/>
              <w:rPr>
                <w:lang w:val="en-US"/>
              </w:rPr>
            </w:pPr>
            <w:r w:rsidRPr="0018213A">
              <w:rPr>
                <w:sz w:val="20"/>
              </w:rPr>
              <w:t>1</w:t>
            </w:r>
            <w:r w:rsidR="00267763">
              <w:rPr>
                <w:sz w:val="20"/>
                <w:lang w:val="en-US"/>
              </w:rPr>
              <w:t>2</w:t>
            </w:r>
            <w:r w:rsidRPr="0018213A">
              <w:rPr>
                <w:sz w:val="20"/>
              </w:rPr>
              <w:t>%/</w:t>
            </w:r>
            <w:r w:rsidR="00AB1BC1">
              <w:rPr>
                <w:sz w:val="20"/>
                <w:lang w:val="en-US"/>
              </w:rPr>
              <w:t>year</w:t>
            </w:r>
          </w:p>
        </w:tc>
      </w:tr>
    </w:tbl>
    <w:p w14:paraId="63E1282A" w14:textId="77777777" w:rsidR="009770E8" w:rsidRPr="0018213A" w:rsidRDefault="009770E8">
      <w:pPr>
        <w:pStyle w:val="BodyText"/>
        <w:rPr>
          <w:sz w:val="20"/>
        </w:rPr>
      </w:pPr>
    </w:p>
    <w:p w14:paraId="49F285CD" w14:textId="7E91B65F" w:rsidR="009770E8" w:rsidRPr="00AB1BC1" w:rsidRDefault="00AB1BC1" w:rsidP="00BA5728">
      <w:pPr>
        <w:spacing w:line="360" w:lineRule="auto"/>
        <w:ind w:firstLine="567"/>
        <w:rPr>
          <w:b/>
          <w:bCs/>
          <w:i/>
          <w:iCs/>
          <w:sz w:val="20"/>
          <w:szCs w:val="20"/>
          <w:u w:val="single"/>
          <w:lang w:val="en-US"/>
        </w:rPr>
      </w:pPr>
      <w:r>
        <w:rPr>
          <w:b/>
          <w:bCs/>
          <w:i/>
          <w:iCs/>
          <w:sz w:val="20"/>
          <w:szCs w:val="20"/>
          <w:u w:val="single"/>
          <w:lang w:val="en-US"/>
        </w:rPr>
        <w:t>Note:</w:t>
      </w:r>
    </w:p>
    <w:p w14:paraId="1882F1D8" w14:textId="2BBD5833" w:rsidR="00030D39" w:rsidRDefault="00AB1BC1" w:rsidP="00BA5728">
      <w:pPr>
        <w:pStyle w:val="ListParagraph"/>
        <w:numPr>
          <w:ilvl w:val="0"/>
          <w:numId w:val="3"/>
        </w:numPr>
        <w:spacing w:line="360" w:lineRule="auto"/>
        <w:ind w:left="1134" w:hanging="426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lang w:val="en-US"/>
        </w:rPr>
        <w:t xml:space="preserve">Adjusted cash advances fee of </w:t>
      </w:r>
      <w:r w:rsidR="00030D39" w:rsidRPr="00BA5728">
        <w:rPr>
          <w:i/>
          <w:iCs/>
          <w:sz w:val="20"/>
          <w:szCs w:val="20"/>
        </w:rPr>
        <w:t>KB 9.</w:t>
      </w:r>
      <w:r w:rsidR="00267763">
        <w:rPr>
          <w:i/>
          <w:iCs/>
          <w:sz w:val="20"/>
          <w:szCs w:val="20"/>
          <w:lang w:val="en-US"/>
        </w:rPr>
        <w:t>5</w:t>
      </w:r>
      <w:r w:rsidR="00030D39" w:rsidRPr="00BA5728">
        <w:rPr>
          <w:i/>
          <w:iCs/>
          <w:sz w:val="20"/>
          <w:szCs w:val="20"/>
        </w:rPr>
        <w:t xml:space="preserve">, KB </w:t>
      </w:r>
      <w:r w:rsidR="00267763">
        <w:rPr>
          <w:i/>
          <w:iCs/>
          <w:sz w:val="20"/>
          <w:szCs w:val="20"/>
          <w:lang w:val="en-US"/>
        </w:rPr>
        <w:t>9.6</w:t>
      </w:r>
      <w:r w:rsidR="00030D39" w:rsidRPr="00BA5728">
        <w:rPr>
          <w:i/>
          <w:iCs/>
          <w:sz w:val="20"/>
          <w:szCs w:val="20"/>
        </w:rPr>
        <w:t xml:space="preserve">, </w:t>
      </w:r>
      <w:r w:rsidR="00267763">
        <w:rPr>
          <w:i/>
          <w:iCs/>
          <w:sz w:val="20"/>
          <w:szCs w:val="20"/>
          <w:lang w:val="en-US"/>
        </w:rPr>
        <w:t>and</w:t>
      </w:r>
      <w:r w:rsidR="00030D39" w:rsidRPr="00BA5728">
        <w:rPr>
          <w:i/>
          <w:iCs/>
          <w:sz w:val="20"/>
          <w:szCs w:val="20"/>
        </w:rPr>
        <w:t xml:space="preserve"> KB </w:t>
      </w:r>
      <w:r w:rsidR="00C272A6">
        <w:rPr>
          <w:i/>
          <w:iCs/>
          <w:sz w:val="20"/>
          <w:szCs w:val="20"/>
          <w:lang w:val="en-US"/>
        </w:rPr>
        <w:t>Bestie</w:t>
      </w:r>
      <w:r>
        <w:rPr>
          <w:i/>
          <w:iCs/>
          <w:sz w:val="20"/>
          <w:szCs w:val="20"/>
          <w:lang w:val="en-US"/>
        </w:rPr>
        <w:t xml:space="preserve"> to </w:t>
      </w:r>
      <w:r w:rsidR="00C272A6">
        <w:rPr>
          <w:i/>
          <w:iCs/>
          <w:sz w:val="20"/>
          <w:szCs w:val="20"/>
          <w:lang w:val="en-US"/>
        </w:rPr>
        <w:t>1</w:t>
      </w:r>
      <w:r w:rsidR="00267763">
        <w:rPr>
          <w:i/>
          <w:iCs/>
          <w:sz w:val="20"/>
          <w:szCs w:val="20"/>
          <w:lang w:val="en-US"/>
        </w:rPr>
        <w:t>2</w:t>
      </w:r>
      <w:r w:rsidR="00C272A6">
        <w:rPr>
          <w:i/>
          <w:iCs/>
          <w:sz w:val="20"/>
          <w:szCs w:val="20"/>
          <w:lang w:val="en-US"/>
        </w:rPr>
        <w:t>%</w:t>
      </w:r>
      <w:r>
        <w:rPr>
          <w:i/>
          <w:iCs/>
          <w:sz w:val="20"/>
          <w:szCs w:val="20"/>
          <w:lang w:val="en-US"/>
        </w:rPr>
        <w:t xml:space="preserve"> from</w:t>
      </w:r>
      <w:r w:rsidR="00EB148F" w:rsidRPr="00BA5728">
        <w:rPr>
          <w:i/>
          <w:iCs/>
          <w:sz w:val="20"/>
          <w:szCs w:val="20"/>
        </w:rPr>
        <w:t xml:space="preserve"> </w:t>
      </w:r>
      <w:r w:rsidR="00267763">
        <w:rPr>
          <w:i/>
          <w:iCs/>
          <w:sz w:val="20"/>
          <w:szCs w:val="20"/>
          <w:lang w:val="en-US"/>
        </w:rPr>
        <w:t>21/04</w:t>
      </w:r>
      <w:r w:rsidR="00EB148F" w:rsidRPr="00BA5728">
        <w:rPr>
          <w:i/>
          <w:iCs/>
          <w:sz w:val="20"/>
          <w:szCs w:val="20"/>
        </w:rPr>
        <w:t>/2023.</w:t>
      </w:r>
    </w:p>
    <w:p w14:paraId="7D650D07" w14:textId="6B2DE85C" w:rsidR="00AB1BC1" w:rsidRPr="00AB1BC1" w:rsidRDefault="00AB1BC1" w:rsidP="00AB1BC1">
      <w:pPr>
        <w:pStyle w:val="ListParagraph"/>
        <w:numPr>
          <w:ilvl w:val="0"/>
          <w:numId w:val="3"/>
        </w:numPr>
        <w:spacing w:line="360" w:lineRule="auto"/>
        <w:ind w:left="1134" w:hanging="426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lang w:val="en-US"/>
        </w:rPr>
        <w:t>Margin interest rate and cash advances fee for some clients may be higher or lower than default interest rate according to clients</w:t>
      </w:r>
      <w:r w:rsidR="007130AC">
        <w:rPr>
          <w:i/>
          <w:iCs/>
          <w:sz w:val="20"/>
          <w:szCs w:val="20"/>
          <w:lang w:val="vi-VN"/>
        </w:rPr>
        <w:t>’</w:t>
      </w:r>
      <w:r>
        <w:rPr>
          <w:i/>
          <w:iCs/>
          <w:sz w:val="20"/>
          <w:szCs w:val="20"/>
          <w:lang w:val="en-US"/>
        </w:rPr>
        <w:t xml:space="preserve"> policies</w:t>
      </w:r>
      <w:r w:rsidR="00F8045C">
        <w:rPr>
          <w:i/>
          <w:iCs/>
          <w:sz w:val="20"/>
          <w:szCs w:val="20"/>
          <w:lang w:val="vi-VN"/>
        </w:rPr>
        <w:t>, review policies</w:t>
      </w:r>
      <w:r>
        <w:rPr>
          <w:i/>
          <w:iCs/>
          <w:sz w:val="20"/>
          <w:szCs w:val="20"/>
          <w:lang w:val="en-US"/>
        </w:rPr>
        <w:t xml:space="preserve"> and specific products in each period</w:t>
      </w:r>
    </w:p>
    <w:p w14:paraId="280BBDCF" w14:textId="77777777" w:rsidR="00030D39" w:rsidRDefault="00030D39" w:rsidP="00AB1BC1">
      <w:pPr>
        <w:spacing w:line="480" w:lineRule="auto"/>
        <w:rPr>
          <w:b/>
          <w:sz w:val="20"/>
        </w:rPr>
      </w:pPr>
    </w:p>
    <w:p w14:paraId="37E6F3AF" w14:textId="2A9BAF06" w:rsidR="009770E8" w:rsidRPr="0018213A" w:rsidRDefault="00AB1BC1" w:rsidP="00BA5728">
      <w:pPr>
        <w:spacing w:line="480" w:lineRule="auto"/>
        <w:ind w:firstLine="567"/>
        <w:rPr>
          <w:b/>
          <w:sz w:val="20"/>
        </w:rPr>
      </w:pPr>
      <w:r>
        <w:rPr>
          <w:b/>
          <w:sz w:val="20"/>
          <w:lang w:val="en-US"/>
        </w:rPr>
        <w:t>Best Regards</w:t>
      </w:r>
      <w:r w:rsidR="00F0385C" w:rsidRPr="0018213A">
        <w:rPr>
          <w:b/>
          <w:sz w:val="20"/>
        </w:rPr>
        <w:t>!</w:t>
      </w:r>
    </w:p>
    <w:p w14:paraId="321F43DC" w14:textId="6A62D6CB" w:rsidR="009770E8" w:rsidRPr="0018213A" w:rsidRDefault="00AB1BC1" w:rsidP="00BA5728">
      <w:pPr>
        <w:spacing w:line="480" w:lineRule="auto"/>
        <w:ind w:firstLine="567"/>
        <w:rPr>
          <w:b/>
          <w:sz w:val="20"/>
        </w:rPr>
      </w:pPr>
      <w:r>
        <w:rPr>
          <w:b/>
          <w:sz w:val="20"/>
          <w:lang w:val="en-US"/>
        </w:rPr>
        <w:t>KB SECURITIES VIET NAM JOINT STOCK COMPANY</w:t>
      </w:r>
    </w:p>
    <w:p w14:paraId="747B2D1B" w14:textId="77777777" w:rsidR="009770E8" w:rsidRDefault="009770E8" w:rsidP="0018213A">
      <w:pPr>
        <w:pStyle w:val="BodyText"/>
        <w:spacing w:line="480" w:lineRule="auto"/>
        <w:rPr>
          <w:b/>
          <w:i w:val="0"/>
          <w:sz w:val="20"/>
        </w:rPr>
      </w:pPr>
    </w:p>
    <w:p w14:paraId="347E4B03" w14:textId="77777777" w:rsidR="009770E8" w:rsidRDefault="009770E8" w:rsidP="0018213A">
      <w:pPr>
        <w:pStyle w:val="BodyText"/>
        <w:spacing w:line="480" w:lineRule="auto"/>
        <w:rPr>
          <w:b/>
          <w:i w:val="0"/>
          <w:sz w:val="20"/>
        </w:rPr>
      </w:pPr>
    </w:p>
    <w:p w14:paraId="74FCAE12" w14:textId="77777777" w:rsidR="009770E8" w:rsidRDefault="009770E8">
      <w:pPr>
        <w:pStyle w:val="BodyText"/>
        <w:rPr>
          <w:b/>
          <w:i w:val="0"/>
          <w:sz w:val="20"/>
        </w:rPr>
      </w:pPr>
    </w:p>
    <w:p w14:paraId="7B6BC6A1" w14:textId="77777777" w:rsidR="009770E8" w:rsidRDefault="009770E8">
      <w:pPr>
        <w:pStyle w:val="BodyText"/>
        <w:rPr>
          <w:b/>
          <w:i w:val="0"/>
          <w:sz w:val="20"/>
        </w:rPr>
      </w:pPr>
    </w:p>
    <w:p w14:paraId="70B00685" w14:textId="77777777" w:rsidR="009770E8" w:rsidRDefault="009770E8">
      <w:pPr>
        <w:pStyle w:val="BodyText"/>
        <w:rPr>
          <w:b/>
          <w:i w:val="0"/>
          <w:sz w:val="20"/>
        </w:rPr>
      </w:pPr>
    </w:p>
    <w:p w14:paraId="2BF71C38" w14:textId="77777777" w:rsidR="009770E8" w:rsidRDefault="009770E8">
      <w:pPr>
        <w:pStyle w:val="BodyText"/>
        <w:rPr>
          <w:b/>
          <w:i w:val="0"/>
          <w:sz w:val="20"/>
        </w:rPr>
      </w:pPr>
    </w:p>
    <w:p w14:paraId="42026C95" w14:textId="77777777" w:rsidR="009770E8" w:rsidRDefault="00F0385C">
      <w:pPr>
        <w:pStyle w:val="BodyText"/>
        <w:spacing w:before="6"/>
        <w:rPr>
          <w:b/>
          <w:i w:val="0"/>
          <w:sz w:val="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5750D15" wp14:editId="1683B3C0">
            <wp:simplePos x="0" y="0"/>
            <wp:positionH relativeFrom="page">
              <wp:posOffset>5441315</wp:posOffset>
            </wp:positionH>
            <wp:positionV relativeFrom="paragraph">
              <wp:posOffset>105665</wp:posOffset>
            </wp:positionV>
            <wp:extent cx="1142562" cy="35404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562" cy="354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770E8">
      <w:type w:val="continuous"/>
      <w:pgSz w:w="11920" w:h="16850"/>
      <w:pgMar w:top="780" w:right="13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3198"/>
    <w:multiLevelType w:val="hybridMultilevel"/>
    <w:tmpl w:val="C5249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E5338"/>
    <w:multiLevelType w:val="hybridMultilevel"/>
    <w:tmpl w:val="96E68EA2"/>
    <w:lvl w:ilvl="0" w:tplc="66EE4BB2">
      <w:numFmt w:val="bullet"/>
      <w:lvlText w:val=""/>
      <w:lvlJc w:val="left"/>
      <w:pPr>
        <w:ind w:left="1672" w:hanging="360"/>
      </w:pPr>
      <w:rPr>
        <w:rFonts w:ascii="Symbol" w:eastAsia="Symbol" w:hAnsi="Symbol" w:cs="Symbol" w:hint="default"/>
        <w:w w:val="99"/>
        <w:sz w:val="20"/>
        <w:szCs w:val="20"/>
        <w:lang w:val="vi" w:eastAsia="en-US" w:bidi="ar-SA"/>
      </w:rPr>
    </w:lvl>
    <w:lvl w:ilvl="1" w:tplc="71DC8F18">
      <w:numFmt w:val="bullet"/>
      <w:lvlText w:val="•"/>
      <w:lvlJc w:val="left"/>
      <w:pPr>
        <w:ind w:left="2473" w:hanging="360"/>
      </w:pPr>
      <w:rPr>
        <w:rFonts w:hint="default"/>
        <w:lang w:val="vi" w:eastAsia="en-US" w:bidi="ar-SA"/>
      </w:rPr>
    </w:lvl>
    <w:lvl w:ilvl="2" w:tplc="008C4EF8">
      <w:numFmt w:val="bullet"/>
      <w:lvlText w:val="•"/>
      <w:lvlJc w:val="left"/>
      <w:pPr>
        <w:ind w:left="3266" w:hanging="360"/>
      </w:pPr>
      <w:rPr>
        <w:rFonts w:hint="default"/>
        <w:lang w:val="vi" w:eastAsia="en-US" w:bidi="ar-SA"/>
      </w:rPr>
    </w:lvl>
    <w:lvl w:ilvl="3" w:tplc="E9B2EA0E">
      <w:numFmt w:val="bullet"/>
      <w:lvlText w:val="•"/>
      <w:lvlJc w:val="left"/>
      <w:pPr>
        <w:ind w:left="4059" w:hanging="360"/>
      </w:pPr>
      <w:rPr>
        <w:rFonts w:hint="default"/>
        <w:lang w:val="vi" w:eastAsia="en-US" w:bidi="ar-SA"/>
      </w:rPr>
    </w:lvl>
    <w:lvl w:ilvl="4" w:tplc="AD005622">
      <w:numFmt w:val="bullet"/>
      <w:lvlText w:val="•"/>
      <w:lvlJc w:val="left"/>
      <w:pPr>
        <w:ind w:left="4852" w:hanging="360"/>
      </w:pPr>
      <w:rPr>
        <w:rFonts w:hint="default"/>
        <w:lang w:val="vi" w:eastAsia="en-US" w:bidi="ar-SA"/>
      </w:rPr>
    </w:lvl>
    <w:lvl w:ilvl="5" w:tplc="E23CBBE2">
      <w:numFmt w:val="bullet"/>
      <w:lvlText w:val="•"/>
      <w:lvlJc w:val="left"/>
      <w:pPr>
        <w:ind w:left="5645" w:hanging="360"/>
      </w:pPr>
      <w:rPr>
        <w:rFonts w:hint="default"/>
        <w:lang w:val="vi" w:eastAsia="en-US" w:bidi="ar-SA"/>
      </w:rPr>
    </w:lvl>
    <w:lvl w:ilvl="6" w:tplc="4344FFC4">
      <w:numFmt w:val="bullet"/>
      <w:lvlText w:val="•"/>
      <w:lvlJc w:val="left"/>
      <w:pPr>
        <w:ind w:left="6438" w:hanging="360"/>
      </w:pPr>
      <w:rPr>
        <w:rFonts w:hint="default"/>
        <w:lang w:val="vi" w:eastAsia="en-US" w:bidi="ar-SA"/>
      </w:rPr>
    </w:lvl>
    <w:lvl w:ilvl="7" w:tplc="BC0CBD5E">
      <w:numFmt w:val="bullet"/>
      <w:lvlText w:val="•"/>
      <w:lvlJc w:val="left"/>
      <w:pPr>
        <w:ind w:left="7231" w:hanging="360"/>
      </w:pPr>
      <w:rPr>
        <w:rFonts w:hint="default"/>
        <w:lang w:val="vi" w:eastAsia="en-US" w:bidi="ar-SA"/>
      </w:rPr>
    </w:lvl>
    <w:lvl w:ilvl="8" w:tplc="4E2E8E2E">
      <w:numFmt w:val="bullet"/>
      <w:lvlText w:val="•"/>
      <w:lvlJc w:val="left"/>
      <w:pPr>
        <w:ind w:left="8024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5921109B"/>
    <w:multiLevelType w:val="hybridMultilevel"/>
    <w:tmpl w:val="66B00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556752">
    <w:abstractNumId w:val="1"/>
  </w:num>
  <w:num w:numId="2" w16cid:durableId="842548674">
    <w:abstractNumId w:val="2"/>
  </w:num>
  <w:num w:numId="3" w16cid:durableId="803889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0E8"/>
    <w:rsid w:val="00030D39"/>
    <w:rsid w:val="00107465"/>
    <w:rsid w:val="0018213A"/>
    <w:rsid w:val="00267763"/>
    <w:rsid w:val="003A3EC0"/>
    <w:rsid w:val="007130AC"/>
    <w:rsid w:val="009770E8"/>
    <w:rsid w:val="00990A59"/>
    <w:rsid w:val="00A123E5"/>
    <w:rsid w:val="00AB1BC1"/>
    <w:rsid w:val="00BA5728"/>
    <w:rsid w:val="00C272A6"/>
    <w:rsid w:val="00E762B2"/>
    <w:rsid w:val="00EB148F"/>
    <w:rsid w:val="00F0385C"/>
    <w:rsid w:val="00F8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4EBFC"/>
  <w15:docId w15:val="{2D569507-B2E0-4106-A09F-6471CA6E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1"/>
      <w:szCs w:val="21"/>
    </w:rPr>
  </w:style>
  <w:style w:type="paragraph" w:styleId="Title">
    <w:name w:val="Title"/>
    <w:basedOn w:val="Normal"/>
    <w:uiPriority w:val="10"/>
    <w:qFormat/>
    <w:pPr>
      <w:spacing w:before="100"/>
      <w:ind w:left="952"/>
    </w:pPr>
    <w:rPr>
      <w:b/>
      <w:bCs/>
      <w:i/>
      <w:sz w:val="21"/>
      <w:szCs w:val="21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672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90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5FC6C-A124-4A10-9BDC-2E5599153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Ngoc Lac Bich (MSI-DVHC)</dc:creator>
  <cp:lastModifiedBy>Trang Nguyen Thanh (Strategy&amp;Product)</cp:lastModifiedBy>
  <cp:revision>4</cp:revision>
  <dcterms:created xsi:type="dcterms:W3CDTF">2023-04-19T07:05:00Z</dcterms:created>
  <dcterms:modified xsi:type="dcterms:W3CDTF">2023-04-24T04:19:00Z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2022-12-20T00:00:00Z</vt:filetime>
  </property>
</Properties>
</file>