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1" w:type="dxa"/>
        <w:tblLayout w:type="fixed"/>
        <w:tblCellMar>
          <w:left w:w="0" w:type="dxa"/>
          <w:right w:w="0" w:type="dxa"/>
        </w:tblCellMar>
        <w:tblLook w:val="04A0" w:firstRow="1" w:lastRow="0" w:firstColumn="1" w:lastColumn="0" w:noHBand="0" w:noVBand="1"/>
      </w:tblPr>
      <w:tblGrid>
        <w:gridCol w:w="2202"/>
        <w:gridCol w:w="2491"/>
        <w:gridCol w:w="2507"/>
        <w:gridCol w:w="2881"/>
      </w:tblGrid>
      <w:tr w:rsidR="006C175D" w14:paraId="6D59E619" w14:textId="77777777" w:rsidTr="00891885">
        <w:trPr>
          <w:trHeight w:hRule="exact" w:val="576"/>
        </w:trPr>
        <w:tc>
          <w:tcPr>
            <w:tcW w:w="2202" w:type="dxa"/>
            <w:shd w:val="clear" w:color="auto" w:fill="auto"/>
            <w:vAlign w:val="center"/>
          </w:tcPr>
          <w:p w14:paraId="4F664828" w14:textId="77777777" w:rsidR="006C175D" w:rsidRDefault="006E4C24" w:rsidP="00FA5610">
            <w:r>
              <w:rPr>
                <w:noProof/>
                <w:lang w:eastAsia="en-US"/>
              </w:rPr>
              <w:drawing>
                <wp:anchor distT="0" distB="0" distL="114300" distR="114300" simplePos="0" relativeHeight="251658240" behindDoc="0" locked="0" layoutInCell="1" allowOverlap="1" wp14:anchorId="0D85CA3A" wp14:editId="60ABCE56">
                  <wp:simplePos x="504825" y="323850"/>
                  <wp:positionH relativeFrom="column">
                    <wp:align>center</wp:align>
                  </wp:positionH>
                  <wp:positionV relativeFrom="paragraph">
                    <wp:posOffset>36830</wp:posOffset>
                  </wp:positionV>
                  <wp:extent cx="1115568" cy="310896"/>
                  <wp:effectExtent l="0" t="0" r="0" b="0"/>
                  <wp:wrapSquare wrapText="bothSides"/>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BSV_CI_E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5568" cy="310896"/>
                          </a:xfrm>
                          <a:prstGeom prst="rect">
                            <a:avLst/>
                          </a:prstGeom>
                        </pic:spPr>
                      </pic:pic>
                    </a:graphicData>
                  </a:graphic>
                  <wp14:sizeRelH relativeFrom="margin">
                    <wp14:pctWidth>0</wp14:pctWidth>
                  </wp14:sizeRelH>
                  <wp14:sizeRelV relativeFrom="margin">
                    <wp14:pctHeight>0</wp14:pctHeight>
                  </wp14:sizeRelV>
                </wp:anchor>
              </w:drawing>
            </w:r>
          </w:p>
        </w:tc>
        <w:tc>
          <w:tcPr>
            <w:tcW w:w="2491" w:type="dxa"/>
            <w:shd w:val="clear" w:color="auto" w:fill="FDB913"/>
          </w:tcPr>
          <w:p w14:paraId="21EB0C70" w14:textId="77777777" w:rsidR="006C175D" w:rsidRDefault="006C175D" w:rsidP="00FA5610"/>
        </w:tc>
        <w:tc>
          <w:tcPr>
            <w:tcW w:w="2507" w:type="dxa"/>
            <w:shd w:val="clear" w:color="auto" w:fill="C0A353"/>
          </w:tcPr>
          <w:p w14:paraId="5148D95D" w14:textId="77777777" w:rsidR="006C175D" w:rsidRDefault="006C175D" w:rsidP="007707E3"/>
        </w:tc>
        <w:tc>
          <w:tcPr>
            <w:tcW w:w="2881" w:type="dxa"/>
            <w:shd w:val="clear" w:color="auto" w:fill="545045"/>
          </w:tcPr>
          <w:p w14:paraId="72C792DC" w14:textId="77777777" w:rsidR="006C175D" w:rsidRDefault="006C175D" w:rsidP="007707E3"/>
        </w:tc>
      </w:tr>
      <w:tr w:rsidR="002E1290" w14:paraId="0986D532" w14:textId="77777777" w:rsidTr="00B94081">
        <w:trPr>
          <w:trHeight w:hRule="exact" w:val="158"/>
        </w:trPr>
        <w:tc>
          <w:tcPr>
            <w:tcW w:w="2202" w:type="dxa"/>
            <w:shd w:val="clear" w:color="auto" w:fill="auto"/>
          </w:tcPr>
          <w:p w14:paraId="2CDD47BE" w14:textId="77777777" w:rsidR="002E1290" w:rsidRDefault="002E1290" w:rsidP="007707E3"/>
        </w:tc>
        <w:tc>
          <w:tcPr>
            <w:tcW w:w="2491" w:type="dxa"/>
            <w:shd w:val="clear" w:color="auto" w:fill="auto"/>
          </w:tcPr>
          <w:p w14:paraId="401604D6" w14:textId="77777777" w:rsidR="002E1290" w:rsidRPr="008F6D63" w:rsidRDefault="002E1290" w:rsidP="007707E3"/>
        </w:tc>
        <w:tc>
          <w:tcPr>
            <w:tcW w:w="2507" w:type="dxa"/>
            <w:shd w:val="clear" w:color="auto" w:fill="auto"/>
          </w:tcPr>
          <w:p w14:paraId="27C46427" w14:textId="77777777" w:rsidR="002E1290" w:rsidRPr="008F6D63" w:rsidRDefault="002E1290" w:rsidP="007707E3"/>
        </w:tc>
        <w:tc>
          <w:tcPr>
            <w:tcW w:w="2881" w:type="dxa"/>
            <w:shd w:val="clear" w:color="auto" w:fill="auto"/>
          </w:tcPr>
          <w:p w14:paraId="344300EA" w14:textId="77777777" w:rsidR="002E1290" w:rsidRPr="00364835" w:rsidRDefault="002E1290" w:rsidP="007707E3"/>
        </w:tc>
      </w:tr>
      <w:tr w:rsidR="002E1290" w14:paraId="3435C3BB" w14:textId="77777777" w:rsidTr="00B94081">
        <w:trPr>
          <w:trHeight w:hRule="exact" w:val="1008"/>
        </w:trPr>
        <w:tc>
          <w:tcPr>
            <w:tcW w:w="4693" w:type="dxa"/>
            <w:gridSpan w:val="2"/>
            <w:tcBorders>
              <w:top w:val="nil"/>
            </w:tcBorders>
            <w:shd w:val="clear" w:color="auto" w:fill="auto"/>
          </w:tcPr>
          <w:p w14:paraId="14AD9DE2" w14:textId="77777777" w:rsidR="002E1290" w:rsidRPr="008F6D63" w:rsidRDefault="002E1290" w:rsidP="007707E3"/>
        </w:tc>
        <w:tc>
          <w:tcPr>
            <w:tcW w:w="2507" w:type="dxa"/>
            <w:tcBorders>
              <w:top w:val="nil"/>
            </w:tcBorders>
            <w:shd w:val="clear" w:color="auto" w:fill="auto"/>
          </w:tcPr>
          <w:p w14:paraId="638E9BD9" w14:textId="029BB63C" w:rsidR="002E1290" w:rsidRPr="008F6D63" w:rsidRDefault="00AE4611" w:rsidP="00B316D1">
            <w:pPr>
              <w:pStyle w:val="KBCoverDateLeft"/>
            </w:pPr>
            <w:r>
              <w:t>February 1, 2024</w:t>
            </w:r>
          </w:p>
        </w:tc>
        <w:tc>
          <w:tcPr>
            <w:tcW w:w="2881" w:type="dxa"/>
            <w:tcBorders>
              <w:top w:val="nil"/>
            </w:tcBorders>
            <w:shd w:val="clear" w:color="auto" w:fill="auto"/>
          </w:tcPr>
          <w:p w14:paraId="70FDCF3C" w14:textId="157951D3" w:rsidR="007707E3" w:rsidRPr="00676C37" w:rsidRDefault="00AE4611" w:rsidP="00097A7B">
            <w:pPr>
              <w:pStyle w:val="KBAnalystBold"/>
            </w:pPr>
            <w:bookmarkStart w:id="0" w:name="Anal"/>
            <w:r>
              <w:t>Analyst Pham Phuong Linh</w:t>
            </w:r>
          </w:p>
          <w:p w14:paraId="11D50537" w14:textId="437A5F2E" w:rsidR="002E1290" w:rsidRPr="006C175D" w:rsidRDefault="00AE4611" w:rsidP="00097A7B">
            <w:pPr>
              <w:pStyle w:val="KBAnalystLight"/>
            </w:pPr>
            <w:r w:rsidRPr="00AE4611">
              <w:t>linhpp@kbsec.com.vn</w:t>
            </w:r>
            <w:bookmarkEnd w:id="0"/>
          </w:p>
        </w:tc>
      </w:tr>
      <w:tr w:rsidR="002E1290" w14:paraId="5D3F58BB" w14:textId="77777777" w:rsidTr="00B94081">
        <w:trPr>
          <w:trHeight w:hRule="exact" w:val="2400"/>
        </w:trPr>
        <w:tc>
          <w:tcPr>
            <w:tcW w:w="2202" w:type="dxa"/>
            <w:shd w:val="clear" w:color="auto" w:fill="auto"/>
          </w:tcPr>
          <w:p w14:paraId="0DA2B1FB" w14:textId="77777777" w:rsidR="002E1290" w:rsidRDefault="002E1290" w:rsidP="00B46292"/>
        </w:tc>
        <w:tc>
          <w:tcPr>
            <w:tcW w:w="7879" w:type="dxa"/>
            <w:gridSpan w:val="3"/>
            <w:shd w:val="clear" w:color="auto" w:fill="auto"/>
          </w:tcPr>
          <w:p w14:paraId="3592A3E1" w14:textId="0E28B84E" w:rsidR="002E1290" w:rsidRPr="00933AA4" w:rsidRDefault="00AE4611" w:rsidP="00124D7D">
            <w:pPr>
              <w:pStyle w:val="FTMCoverTitle"/>
            </w:pPr>
            <w:proofErr w:type="spellStart"/>
            <w:r>
              <w:t>HDBank</w:t>
            </w:r>
            <w:proofErr w:type="spellEnd"/>
            <w:r>
              <w:t xml:space="preserve"> (HDB)</w:t>
            </w:r>
          </w:p>
          <w:p w14:paraId="55A5C355" w14:textId="63FBD069" w:rsidR="002E1290" w:rsidRPr="00A52FCC" w:rsidRDefault="00AE4611" w:rsidP="00124D7D">
            <w:pPr>
              <w:pStyle w:val="FTMCoverSubtitle"/>
              <w:rPr>
                <w:rFonts w:cs="Gulim"/>
                <w:snapToGrid/>
                <w:kern w:val="12"/>
              </w:rPr>
            </w:pPr>
            <w:r>
              <w:t>Analyst meeting updates</w:t>
            </w:r>
          </w:p>
          <w:p w14:paraId="5343707D" w14:textId="77777777" w:rsidR="002E1290" w:rsidRDefault="002E1290" w:rsidP="00124D7D"/>
        </w:tc>
      </w:tr>
      <w:tr w:rsidR="002E1290" w14:paraId="54D5E144" w14:textId="77777777" w:rsidTr="00D30AA0">
        <w:trPr>
          <w:trHeight w:hRule="exact" w:val="10971"/>
        </w:trPr>
        <w:tc>
          <w:tcPr>
            <w:tcW w:w="2202" w:type="dxa"/>
            <w:shd w:val="clear" w:color="auto" w:fill="auto"/>
          </w:tcPr>
          <w:p w14:paraId="623BD84C" w14:textId="77777777" w:rsidR="002E1290" w:rsidRDefault="002E1290" w:rsidP="00B46292">
            <w:pPr>
              <w:jc w:val="both"/>
            </w:pPr>
          </w:p>
        </w:tc>
        <w:tc>
          <w:tcPr>
            <w:tcW w:w="7879" w:type="dxa"/>
            <w:gridSpan w:val="3"/>
            <w:shd w:val="clear" w:color="auto" w:fill="auto"/>
          </w:tcPr>
          <w:p w14:paraId="2CE5B7B3" w14:textId="2D958ADF" w:rsidR="002E1290" w:rsidRDefault="00806999" w:rsidP="00124D7D">
            <w:pPr>
              <w:pStyle w:val="FTMBulletTitle"/>
            </w:pPr>
            <w:r>
              <w:t>G</w:t>
            </w:r>
            <w:r w:rsidR="009F1A65">
              <w:t xml:space="preserve">ood </w:t>
            </w:r>
            <w:r w:rsidR="00A92D98">
              <w:t xml:space="preserve">results in 4Q2023 and </w:t>
            </w:r>
            <w:r w:rsidR="00D57892">
              <w:t xml:space="preserve">the whole year </w:t>
            </w:r>
            <w:r w:rsidR="00A92D98">
              <w:t>2023</w:t>
            </w:r>
          </w:p>
          <w:p w14:paraId="61EC1F63" w14:textId="09289470" w:rsidR="00AE4611" w:rsidRDefault="00AE4611" w:rsidP="00AE4611">
            <w:pPr>
              <w:pStyle w:val="FTMBulletBody"/>
            </w:pPr>
            <w:r>
              <w:t xml:space="preserve">HDB's </w:t>
            </w:r>
            <w:r>
              <w:t xml:space="preserve">total </w:t>
            </w:r>
            <w:r>
              <w:t>outstanding</w:t>
            </w:r>
            <w:r>
              <w:t xml:space="preserve"> loans</w:t>
            </w:r>
            <w:r>
              <w:t xml:space="preserve"> </w:t>
            </w:r>
            <w:r>
              <w:t>by</w:t>
            </w:r>
            <w:r>
              <w:t xml:space="preserve"> the end of 2023 reached </w:t>
            </w:r>
            <w:r w:rsidR="00A2154E">
              <w:t>VND</w:t>
            </w:r>
            <w:r>
              <w:t>353.441 trillion</w:t>
            </w:r>
            <w:r w:rsidR="00603015">
              <w:t xml:space="preserve"> (</w:t>
            </w:r>
            <w:r w:rsidR="006573D4">
              <w:t>up</w:t>
            </w:r>
            <w:r>
              <w:t xml:space="preserve"> 31.8% </w:t>
            </w:r>
            <w:r w:rsidR="006573D4">
              <w:t>YTD</w:t>
            </w:r>
            <w:r w:rsidR="00603015">
              <w:t>),</w:t>
            </w:r>
            <w:r w:rsidR="006573D4">
              <w:t xml:space="preserve"> </w:t>
            </w:r>
            <w:r w:rsidR="00603015">
              <w:t>accomplishing</w:t>
            </w:r>
            <w:r>
              <w:t xml:space="preserve"> the </w:t>
            </w:r>
            <w:r w:rsidR="00603015">
              <w:t>quota</w:t>
            </w:r>
            <w:r>
              <w:t xml:space="preserve"> assigned by the State Bank of Vietnam (</w:t>
            </w:r>
            <w:r w:rsidR="00603015">
              <w:t>SBV</w:t>
            </w:r>
            <w:r>
              <w:t>). Credit recorded a significant increase in the fourth quarter</w:t>
            </w:r>
            <w:r w:rsidR="00E05B86">
              <w:t xml:space="preserve"> </w:t>
            </w:r>
            <w:r w:rsidR="00E05B86">
              <w:t xml:space="preserve">(up 20% </w:t>
            </w:r>
            <w:proofErr w:type="spellStart"/>
            <w:r w:rsidR="00E05B86">
              <w:t>QoQ</w:t>
            </w:r>
            <w:proofErr w:type="spellEnd"/>
            <w:r w:rsidR="00E05B86">
              <w:t>)</w:t>
            </w:r>
            <w:r>
              <w:t>, in line with the overall trend of the entire industry</w:t>
            </w:r>
            <w:r w:rsidR="00ED4BC1">
              <w:t>.</w:t>
            </w:r>
            <w:r>
              <w:t xml:space="preserve"> Specifically, retail lending grew</w:t>
            </w:r>
            <w:r w:rsidR="00EB5662">
              <w:t xml:space="preserve"> by</w:t>
            </w:r>
            <w:r>
              <w:t xml:space="preserve"> 10.8% </w:t>
            </w:r>
            <w:r w:rsidR="001836E1">
              <w:t>YTD</w:t>
            </w:r>
            <w:r>
              <w:t xml:space="preserve">, while corporate </w:t>
            </w:r>
            <w:r w:rsidR="00637180">
              <w:t>lending</w:t>
            </w:r>
            <w:r>
              <w:t xml:space="preserve"> </w:t>
            </w:r>
            <w:r w:rsidR="00637180">
              <w:t>rose</w:t>
            </w:r>
            <w:r>
              <w:t xml:space="preserve"> </w:t>
            </w:r>
            <w:r w:rsidR="00EB5662">
              <w:t xml:space="preserve">by </w:t>
            </w:r>
            <w:r>
              <w:t xml:space="preserve">54.5% </w:t>
            </w:r>
            <w:r w:rsidR="00421C65">
              <w:t>YTD</w:t>
            </w:r>
            <w:r>
              <w:t xml:space="preserve">. The </w:t>
            </w:r>
            <w:r w:rsidR="00112B5C">
              <w:t>BOD</w:t>
            </w:r>
            <w:r>
              <w:t xml:space="preserve"> </w:t>
            </w:r>
            <w:r w:rsidR="00C731CC">
              <w:t>shared</w:t>
            </w:r>
            <w:r>
              <w:t xml:space="preserve"> that </w:t>
            </w:r>
            <w:r w:rsidR="00660E7C">
              <w:t xml:space="preserve">the </w:t>
            </w:r>
            <w:r>
              <w:t xml:space="preserve">credit limit </w:t>
            </w:r>
            <w:r w:rsidR="00A14BC0">
              <w:t>assigned</w:t>
            </w:r>
            <w:r>
              <w:t xml:space="preserve"> for 2024 is 20%.</w:t>
            </w:r>
          </w:p>
          <w:p w14:paraId="3A7CF26E" w14:textId="72919763" w:rsidR="00AE4611" w:rsidRDefault="00AE4611" w:rsidP="00AE4611">
            <w:pPr>
              <w:pStyle w:val="FTMBulletBody"/>
            </w:pPr>
            <w:r>
              <w:t xml:space="preserve">Net </w:t>
            </w:r>
            <w:r w:rsidR="00727405">
              <w:t>i</w:t>
            </w:r>
            <w:r>
              <w:t xml:space="preserve">nterest </w:t>
            </w:r>
            <w:r w:rsidR="00727405">
              <w:t>i</w:t>
            </w:r>
            <w:r>
              <w:t xml:space="preserve">ncome (NII) in </w:t>
            </w:r>
            <w:r w:rsidR="00772B66">
              <w:t>4Q2023</w:t>
            </w:r>
            <w:r>
              <w:t xml:space="preserve"> </w:t>
            </w:r>
            <w:r w:rsidR="004735E0">
              <w:t xml:space="preserve">climbed 60% </w:t>
            </w:r>
            <w:proofErr w:type="spellStart"/>
            <w:r w:rsidR="004735E0">
              <w:t>QoQ</w:t>
            </w:r>
            <w:proofErr w:type="spellEnd"/>
            <w:r w:rsidR="004735E0">
              <w:t xml:space="preserve"> to</w:t>
            </w:r>
            <w:r>
              <w:t xml:space="preserve"> </w:t>
            </w:r>
            <w:r w:rsidR="00F81BEF">
              <w:t>VND</w:t>
            </w:r>
            <w:r>
              <w:t xml:space="preserve">7.473 trillion, attributed to the sudden surge in credit. </w:t>
            </w:r>
            <w:r w:rsidR="00727405">
              <w:t xml:space="preserve">The figure </w:t>
            </w:r>
            <w:r>
              <w:t xml:space="preserve">for the year 2023 </w:t>
            </w:r>
            <w:r w:rsidR="00727405">
              <w:t>is</w:t>
            </w:r>
            <w:r>
              <w:t xml:space="preserve"> </w:t>
            </w:r>
            <w:r w:rsidR="00E16269">
              <w:t>VND</w:t>
            </w:r>
            <w:r>
              <w:t xml:space="preserve">22.184 trillion, </w:t>
            </w:r>
            <w:r w:rsidR="00516999">
              <w:t>up</w:t>
            </w:r>
            <w:r>
              <w:t xml:space="preserve"> 23.2% </w:t>
            </w:r>
            <w:r w:rsidR="00516999">
              <w:t>YoY</w:t>
            </w:r>
            <w:r>
              <w:t xml:space="preserve">. </w:t>
            </w:r>
            <w:r w:rsidR="0012130F">
              <w:t xml:space="preserve">Net fee </w:t>
            </w:r>
            <w:r w:rsidR="001641E2">
              <w:t>and commission</w:t>
            </w:r>
            <w:r>
              <w:t xml:space="preserve"> </w:t>
            </w:r>
            <w:r w:rsidR="001641E2">
              <w:t xml:space="preserve">income </w:t>
            </w:r>
            <w:r>
              <w:t xml:space="preserve">in 2023 </w:t>
            </w:r>
            <w:r w:rsidR="0012130F">
              <w:t>dropped</w:t>
            </w:r>
            <w:r>
              <w:t xml:space="preserve"> by 26% </w:t>
            </w:r>
            <w:r w:rsidR="0012130F">
              <w:t>YoY</w:t>
            </w:r>
            <w:r>
              <w:t xml:space="preserve">, while non-interest income </w:t>
            </w:r>
            <w:r w:rsidR="001641E2">
              <w:t>(NOII) touched</w:t>
            </w:r>
            <w:r>
              <w:t xml:space="preserve"> </w:t>
            </w:r>
            <w:r w:rsidR="001641E2">
              <w:t>VND</w:t>
            </w:r>
            <w:r>
              <w:t>2.042 trillion (</w:t>
            </w:r>
            <w:r w:rsidR="001641E2">
              <w:t>up</w:t>
            </w:r>
            <w:r>
              <w:t xml:space="preserve"> 104% </w:t>
            </w:r>
            <w:r w:rsidR="001641E2">
              <w:t>YoY</w:t>
            </w:r>
            <w:r>
              <w:t>), driven by securities</w:t>
            </w:r>
            <w:r w:rsidR="00987357">
              <w:t>, FX,</w:t>
            </w:r>
            <w:r>
              <w:t xml:space="preserve"> and gold</w:t>
            </w:r>
            <w:r w:rsidR="001571B7">
              <w:t xml:space="preserve"> trading</w:t>
            </w:r>
            <w:r>
              <w:t xml:space="preserve">. </w:t>
            </w:r>
            <w:r w:rsidR="002901FD">
              <w:t>T</w:t>
            </w:r>
            <w:r>
              <w:t xml:space="preserve">otal operating income (TOI) for the year 2023 amounted to </w:t>
            </w:r>
            <w:r w:rsidR="002C02FE">
              <w:t>VND</w:t>
            </w:r>
            <w:r>
              <w:t xml:space="preserve">26.414 trillion, </w:t>
            </w:r>
            <w:r w:rsidR="00AE7798">
              <w:t>up</w:t>
            </w:r>
            <w:r>
              <w:t xml:space="preserve"> 35.7% </w:t>
            </w:r>
            <w:r w:rsidR="00AE7798">
              <w:t>YoY</w:t>
            </w:r>
            <w:r>
              <w:t>.</w:t>
            </w:r>
          </w:p>
          <w:p w14:paraId="74369D20" w14:textId="782FB1BC" w:rsidR="00E156E1" w:rsidRDefault="00AE4611" w:rsidP="00E156E1">
            <w:pPr>
              <w:pStyle w:val="FTMBulletBody"/>
            </w:pPr>
            <w:r>
              <w:t>Operating expenses in 2023</w:t>
            </w:r>
            <w:r w:rsidR="00E37655">
              <w:t xml:space="preserve"> expanded</w:t>
            </w:r>
            <w:r>
              <w:t xml:space="preserve"> by 5.8%, but the </w:t>
            </w:r>
            <w:r w:rsidR="00B051E0">
              <w:t>c</w:t>
            </w:r>
            <w:r>
              <w:t>ost-to-</w:t>
            </w:r>
            <w:r w:rsidR="00B051E0">
              <w:t>i</w:t>
            </w:r>
            <w:r>
              <w:t xml:space="preserve">ncome </w:t>
            </w:r>
            <w:r w:rsidR="00FB7302">
              <w:t>r</w:t>
            </w:r>
            <w:r>
              <w:t xml:space="preserve">atio (CIR) improved from 34.6% in 2022 to 39.3%. </w:t>
            </w:r>
            <w:r w:rsidR="002D6804">
              <w:t>Credit costs</w:t>
            </w:r>
            <w:r>
              <w:t xml:space="preserve"> </w:t>
            </w:r>
            <w:r w:rsidR="00FA63A2">
              <w:t>surged</w:t>
            </w:r>
            <w:r>
              <w:t xml:space="preserve"> 39% </w:t>
            </w:r>
            <w:r w:rsidR="00FA63A2">
              <w:t>YoY</w:t>
            </w:r>
            <w:r>
              <w:t xml:space="preserve"> in the context of the overall decline in asset quality across the industry. Overall, HDB's PBT recorded </w:t>
            </w:r>
            <w:r w:rsidR="00C62E11">
              <w:t>VND</w:t>
            </w:r>
            <w:r>
              <w:t>13.017 trillion,</w:t>
            </w:r>
            <w:r w:rsidR="00141BB6">
              <w:t xml:space="preserve"> up</w:t>
            </w:r>
            <w:r>
              <w:t xml:space="preserve"> 26.8%</w:t>
            </w:r>
            <w:r w:rsidR="00141BB6">
              <w:t xml:space="preserve"> YoY</w:t>
            </w:r>
            <w:r>
              <w:t>, placing it among the banks with impressive growth.</w:t>
            </w:r>
          </w:p>
          <w:p w14:paraId="528DCCF1" w14:textId="77777777" w:rsidR="00325C1E" w:rsidRPr="00325C1E" w:rsidRDefault="00325C1E" w:rsidP="00325C1E"/>
          <w:p w14:paraId="012604EF" w14:textId="73EE686A" w:rsidR="00124D7D" w:rsidRDefault="007E7F16" w:rsidP="00124D7D">
            <w:pPr>
              <w:pStyle w:val="FTMBulletTitle"/>
            </w:pPr>
            <w:r>
              <w:t>Profitability</w:t>
            </w:r>
          </w:p>
          <w:p w14:paraId="730750FC" w14:textId="57886D97" w:rsidR="00AE4611" w:rsidRDefault="00AE4611" w:rsidP="00AE4611">
            <w:pPr>
              <w:pStyle w:val="FTMBulletBody"/>
            </w:pPr>
            <w:r>
              <w:t xml:space="preserve">The consolidated </w:t>
            </w:r>
            <w:r w:rsidR="004B65F1">
              <w:t>n</w:t>
            </w:r>
            <w:r>
              <w:t xml:space="preserve">et </w:t>
            </w:r>
            <w:r w:rsidR="004B65F1">
              <w:t>i</w:t>
            </w:r>
            <w:r>
              <w:t xml:space="preserve">nterest </w:t>
            </w:r>
            <w:r w:rsidR="004B65F1">
              <w:t>m</w:t>
            </w:r>
            <w:r>
              <w:t xml:space="preserve">argin (NIM) improved by 10 basis points </w:t>
            </w:r>
            <w:r w:rsidR="009603A1">
              <w:t xml:space="preserve">(bps) </w:t>
            </w:r>
            <w:proofErr w:type="spellStart"/>
            <w:r w:rsidR="009603A1">
              <w:t>QoQ</w:t>
            </w:r>
            <w:proofErr w:type="spellEnd"/>
            <w:r w:rsidR="009603A1">
              <w:t xml:space="preserve"> to </w:t>
            </w:r>
            <w:r>
              <w:t>5.1%</w:t>
            </w:r>
            <w:r w:rsidR="007262D8">
              <w:t>, underpinned by</w:t>
            </w:r>
            <w:r>
              <w:t xml:space="preserve"> a </w:t>
            </w:r>
            <w:r w:rsidR="00652BD9">
              <w:t>sharp fall</w:t>
            </w:r>
            <w:r>
              <w:t xml:space="preserve"> in the cost of funds. The bank expects NIM to </w:t>
            </w:r>
            <w:r w:rsidR="005D77B8">
              <w:t>further</w:t>
            </w:r>
            <w:r>
              <w:t xml:space="preserve"> improv</w:t>
            </w:r>
            <w:r w:rsidR="005D77B8">
              <w:t>e</w:t>
            </w:r>
            <w:r>
              <w:t xml:space="preserve"> in 2024, rang</w:t>
            </w:r>
            <w:r w:rsidR="00663679">
              <w:t>ing</w:t>
            </w:r>
            <w:r>
              <w:t xml:space="preserve"> </w:t>
            </w:r>
            <w:r w:rsidR="00663679">
              <w:t>from</w:t>
            </w:r>
            <w:r>
              <w:t xml:space="preserve"> 5</w:t>
            </w:r>
            <w:r w:rsidR="00663679">
              <w:t xml:space="preserve">% to </w:t>
            </w:r>
            <w:r>
              <w:t>5.2%.</w:t>
            </w:r>
          </w:p>
          <w:p w14:paraId="226B3BAA" w14:textId="019BC893" w:rsidR="00124D7D" w:rsidRDefault="00AE4611" w:rsidP="00AE4611">
            <w:pPr>
              <w:pStyle w:val="FTMBulletBody"/>
            </w:pPr>
            <w:r>
              <w:t xml:space="preserve">ROA and ROE both </w:t>
            </w:r>
            <w:r w:rsidR="00915569">
              <w:t>increased</w:t>
            </w:r>
            <w:r w:rsidR="00C84A5E">
              <w:t xml:space="preserve"> YoY</w:t>
            </w:r>
            <w:r>
              <w:t xml:space="preserve">, reaching 2.0% and 24.2%, respectively, placing </w:t>
            </w:r>
            <w:r w:rsidR="00F10F7D">
              <w:t>HDB</w:t>
            </w:r>
            <w:r>
              <w:t xml:space="preserve"> among the industry leaders. The bank has proactively </w:t>
            </w:r>
            <w:r w:rsidR="00AA0D24">
              <w:t>boosted</w:t>
            </w:r>
            <w:r>
              <w:t xml:space="preserve"> provisions to strengthen its financial buffer, staying prepared for market fluctuations. The capital adequacy ratio (CAR) under Basel II </w:t>
            </w:r>
            <w:r w:rsidR="00FF42E2">
              <w:t>hit</w:t>
            </w:r>
            <w:r>
              <w:t xml:space="preserve"> 12.6%, </w:t>
            </w:r>
            <w:r w:rsidR="00FA5704">
              <w:t>meeting</w:t>
            </w:r>
            <w:r w:rsidR="00D80A84">
              <w:t xml:space="preserve"> 150% of</w:t>
            </w:r>
            <w:r>
              <w:t xml:space="preserve"> regulatory requirements for the banking industry</w:t>
            </w:r>
            <w:r w:rsidR="002945D3">
              <w:t>.</w:t>
            </w:r>
          </w:p>
          <w:p w14:paraId="7566D629" w14:textId="77777777" w:rsidR="00325C1E" w:rsidRPr="00325C1E" w:rsidRDefault="00325C1E" w:rsidP="00325C1E"/>
          <w:p w14:paraId="06DCC09D" w14:textId="23CD6B7D" w:rsidR="00124D7D" w:rsidRDefault="009B4C43" w:rsidP="00124D7D">
            <w:pPr>
              <w:pStyle w:val="FTMBulletTitle"/>
            </w:pPr>
            <w:r>
              <w:t xml:space="preserve">The NPL ratio </w:t>
            </w:r>
            <w:r w:rsidR="00222929">
              <w:t>expected to</w:t>
            </w:r>
            <w:r>
              <w:t xml:space="preserve"> have reached its peak</w:t>
            </w:r>
            <w:r w:rsidR="00B009F6">
              <w:t xml:space="preserve"> in 2023</w:t>
            </w:r>
          </w:p>
          <w:p w14:paraId="77B155E6" w14:textId="598E3B85" w:rsidR="00124D7D" w:rsidRDefault="00AE4611" w:rsidP="00AE4611">
            <w:pPr>
              <w:pStyle w:val="FTMBulletBody"/>
            </w:pPr>
            <w:r w:rsidRPr="00AE4611">
              <w:t xml:space="preserve">The consolidated NPL ratio </w:t>
            </w:r>
            <w:r w:rsidR="003F1F82">
              <w:t>fell</w:t>
            </w:r>
            <w:r w:rsidRPr="00AE4611">
              <w:t xml:space="preserve"> by 47 </w:t>
            </w:r>
            <w:r w:rsidR="00782EE1">
              <w:t>bps</w:t>
            </w:r>
            <w:r w:rsidRPr="00AE4611">
              <w:t xml:space="preserve"> </w:t>
            </w:r>
            <w:proofErr w:type="spellStart"/>
            <w:r w:rsidR="00782EE1">
              <w:t>QoQ</w:t>
            </w:r>
            <w:proofErr w:type="spellEnd"/>
            <w:r w:rsidR="003F1F82">
              <w:t xml:space="preserve"> to </w:t>
            </w:r>
            <w:r w:rsidRPr="00AE4611">
              <w:t xml:space="preserve">1.79% </w:t>
            </w:r>
            <w:r w:rsidR="003F1F82">
              <w:t>by the</w:t>
            </w:r>
            <w:r w:rsidRPr="00AE4611">
              <w:t xml:space="preserve"> end of December</w:t>
            </w:r>
            <w:r w:rsidR="005C5EB9">
              <w:t xml:space="preserve">, </w:t>
            </w:r>
            <w:r w:rsidR="002170F1">
              <w:t>within</w:t>
            </w:r>
            <w:r w:rsidR="00526EB5">
              <w:t xml:space="preserve"> the bank’s target of</w:t>
            </w:r>
            <w:r w:rsidRPr="00AE4611">
              <w:t xml:space="preserve"> 2%. The NPL ratio for the parent bank is 1.5% for the year 2023. </w:t>
            </w:r>
            <w:r w:rsidR="00A53B76">
              <w:t>Per</w:t>
            </w:r>
            <w:r w:rsidRPr="00AE4611">
              <w:t xml:space="preserve"> HDB, </w:t>
            </w:r>
            <w:r w:rsidR="00EB6412">
              <w:t>NPLs</w:t>
            </w:r>
            <w:r w:rsidRPr="00AE4611">
              <w:t xml:space="preserve"> primarily originate from retail </w:t>
            </w:r>
            <w:r w:rsidR="001E3931">
              <w:t>lending</w:t>
            </w:r>
            <w:r w:rsidRPr="00AE4611">
              <w:t xml:space="preserve">, </w:t>
            </w:r>
            <w:r w:rsidR="006575D7">
              <w:t>which</w:t>
            </w:r>
            <w:r w:rsidRPr="00AE4611">
              <w:t xml:space="preserve"> </w:t>
            </w:r>
            <w:r w:rsidR="006575D7">
              <w:t>decreased substantially</w:t>
            </w:r>
            <w:r w:rsidRPr="00AE4611">
              <w:t xml:space="preserve"> </w:t>
            </w:r>
            <w:r w:rsidR="006575D7">
              <w:t>over</w:t>
            </w:r>
            <w:r w:rsidRPr="00AE4611">
              <w:t xml:space="preserve"> the past two quarters. </w:t>
            </w:r>
            <w:r w:rsidR="001B77DC">
              <w:t>Thus</w:t>
            </w:r>
            <w:r w:rsidRPr="00AE4611">
              <w:t xml:space="preserve">, </w:t>
            </w:r>
            <w:r w:rsidR="001B77DC">
              <w:t xml:space="preserve">we expect HDB’s </w:t>
            </w:r>
            <w:r w:rsidRPr="00AE4611">
              <w:t xml:space="preserve">NPL ratio to have peaked in 2023 and </w:t>
            </w:r>
            <w:r w:rsidR="005B2695">
              <w:t>drop</w:t>
            </w:r>
            <w:r w:rsidRPr="00AE4611">
              <w:t xml:space="preserve"> in 2024.</w:t>
            </w:r>
          </w:p>
          <w:p w14:paraId="7146D815" w14:textId="77777777" w:rsidR="0001416B" w:rsidRDefault="0001416B" w:rsidP="0001416B"/>
          <w:p w14:paraId="39276294" w14:textId="67787235" w:rsidR="0001416B" w:rsidRPr="0001416B" w:rsidRDefault="003659F3" w:rsidP="0001416B">
            <w:pPr>
              <w:rPr>
                <w:rFonts w:ascii="KBFG Text Bold" w:eastAsia="KBFG Text Bold" w:hAnsi="KBFG Text Bold"/>
              </w:rPr>
            </w:pPr>
            <w:r>
              <w:rPr>
                <w:rFonts w:ascii="KBFG Text Bold" w:eastAsia="KBFG Text Bold" w:hAnsi="KBFG Text Bold"/>
              </w:rPr>
              <w:t xml:space="preserve">About </w:t>
            </w:r>
            <w:r w:rsidR="0001416B" w:rsidRPr="0001416B">
              <w:rPr>
                <w:rFonts w:ascii="KBFG Text Bold" w:eastAsia="KBFG Text Bold" w:hAnsi="KBFG Text Bold"/>
              </w:rPr>
              <w:t>HD Saison</w:t>
            </w:r>
          </w:p>
          <w:p w14:paraId="612CE13A" w14:textId="276C48F7" w:rsidR="0001416B" w:rsidRDefault="0001416B" w:rsidP="0001416B">
            <w:r>
              <w:t xml:space="preserve">— The outstanding loan balance </w:t>
            </w:r>
            <w:r w:rsidR="00C52C93">
              <w:t>hit</w:t>
            </w:r>
            <w:r>
              <w:t xml:space="preserve"> </w:t>
            </w:r>
            <w:r w:rsidR="00615390">
              <w:t>VND</w:t>
            </w:r>
            <w:r>
              <w:t xml:space="preserve">16.1 trillion by the end of </w:t>
            </w:r>
            <w:r w:rsidR="00C52C93">
              <w:t>2023</w:t>
            </w:r>
            <w:r>
              <w:t xml:space="preserve">, with </w:t>
            </w:r>
            <w:r w:rsidR="00BA3270">
              <w:t>car</w:t>
            </w:r>
            <w:r>
              <w:t xml:space="preserve"> and consumer </w:t>
            </w:r>
            <w:r w:rsidR="003E5524">
              <w:t>loans</w:t>
            </w:r>
            <w:r>
              <w:t xml:space="preserve"> continuing to be the two main </w:t>
            </w:r>
            <w:r w:rsidR="00F63120">
              <w:t>contributors</w:t>
            </w:r>
            <w:r>
              <w:t xml:space="preserve">, </w:t>
            </w:r>
            <w:r w:rsidR="00F63120">
              <w:t>making up</w:t>
            </w:r>
            <w:r>
              <w:t xml:space="preserve"> 21% and 23.5%, respectively.</w:t>
            </w:r>
          </w:p>
          <w:p w14:paraId="69394340" w14:textId="49CA994C" w:rsidR="002E1290" w:rsidRPr="008F6D63" w:rsidRDefault="0001416B" w:rsidP="0001416B">
            <w:r>
              <w:t xml:space="preserve">— Asset quality </w:t>
            </w:r>
            <w:r w:rsidR="00840DE8">
              <w:t>wa</w:t>
            </w:r>
            <w:r>
              <w:t xml:space="preserve">s better controlled as the </w:t>
            </w:r>
            <w:r w:rsidR="001D4A1D">
              <w:t>NPL</w:t>
            </w:r>
            <w:r>
              <w:t xml:space="preserve"> ratio reduced to 7.61% from its peak of 7.92% in the second quarter. Despite a slight decrease in NIM, it </w:t>
            </w:r>
            <w:r w:rsidR="00C05E95">
              <w:t>remained</w:t>
            </w:r>
            <w:r>
              <w:t xml:space="preserve"> high</w:t>
            </w:r>
            <w:r w:rsidR="006E6B7E">
              <w:t>,</w:t>
            </w:r>
            <w:r>
              <w:t xml:space="preserve"> around 29%.</w:t>
            </w:r>
          </w:p>
        </w:tc>
      </w:tr>
    </w:tbl>
    <w:p w14:paraId="3C5572CB" w14:textId="77777777" w:rsidR="00E17293" w:rsidRDefault="00E17293" w:rsidP="00651E84">
      <w:pPr>
        <w:sectPr w:rsidR="00E17293" w:rsidSect="00245817">
          <w:headerReference w:type="default" r:id="rId9"/>
          <w:headerReference w:type="first" r:id="rId10"/>
          <w:footerReference w:type="first" r:id="rId11"/>
          <w:type w:val="continuous"/>
          <w:pgSz w:w="11906" w:h="16838" w:code="9"/>
          <w:pgMar w:top="504" w:right="562" w:bottom="504" w:left="792" w:header="115" w:footer="173" w:gutter="0"/>
          <w:cols w:space="425"/>
          <w:docGrid w:linePitch="360"/>
        </w:sectPr>
      </w:pPr>
    </w:p>
    <w:tbl>
      <w:tblPr>
        <w:tblpPr w:leftFromText="142" w:rightFromText="142" w:bottomFromText="160" w:vertAnchor="text" w:tblpY="1"/>
        <w:tblOverlap w:val="never"/>
        <w:tblW w:w="10080" w:type="dxa"/>
        <w:tblLayout w:type="fixed"/>
        <w:tblCellMar>
          <w:left w:w="0" w:type="dxa"/>
          <w:right w:w="0" w:type="dxa"/>
        </w:tblCellMar>
        <w:tblLook w:val="04A0" w:firstRow="1" w:lastRow="0" w:firstColumn="1" w:lastColumn="0" w:noHBand="0" w:noVBand="1"/>
      </w:tblPr>
      <w:tblGrid>
        <w:gridCol w:w="5040"/>
        <w:gridCol w:w="5040"/>
      </w:tblGrid>
      <w:tr w:rsidR="0027339B" w:rsidRPr="0027339B" w14:paraId="7E301012" w14:textId="77777777" w:rsidTr="0027339B">
        <w:tc>
          <w:tcPr>
            <w:tcW w:w="10080" w:type="dxa"/>
            <w:gridSpan w:val="2"/>
            <w:tcBorders>
              <w:top w:val="nil"/>
              <w:left w:val="nil"/>
              <w:bottom w:val="single" w:sz="4" w:space="0" w:color="auto"/>
              <w:right w:val="nil"/>
            </w:tcBorders>
            <w:hideMark/>
          </w:tcPr>
          <w:p w14:paraId="4782C0ED" w14:textId="77777777" w:rsidR="0027339B" w:rsidRPr="0027339B" w:rsidRDefault="0027339B" w:rsidP="0027339B">
            <w:pPr>
              <w:spacing w:line="256" w:lineRule="auto"/>
              <w:jc w:val="both"/>
              <w:rPr>
                <w:rFonts w:ascii="KBFG Text Bold" w:eastAsia="KBFG Text Bold" w:hAnsi="KBFG Text Bold"/>
                <w:snapToGrid/>
                <w:kern w:val="2"/>
                <w:sz w:val="16"/>
                <w:szCs w:val="18"/>
              </w:rPr>
            </w:pPr>
            <w:r w:rsidRPr="0027339B">
              <w:rPr>
                <w:rFonts w:ascii="KBFG Text Bold" w:eastAsia="KBFG Text Bold" w:hAnsi="KBFG Text Bold" w:hint="eastAsia"/>
                <w:snapToGrid/>
                <w:kern w:val="2"/>
                <w:sz w:val="16"/>
                <w:szCs w:val="18"/>
              </w:rPr>
              <w:lastRenderedPageBreak/>
              <w:t>KB SECURITIES VIETNAM RESEARCH</w:t>
            </w:r>
          </w:p>
        </w:tc>
      </w:tr>
      <w:tr w:rsidR="0027339B" w:rsidRPr="0027339B" w14:paraId="6D78681E" w14:textId="77777777" w:rsidTr="0027339B">
        <w:trPr>
          <w:trHeight w:val="535"/>
        </w:trPr>
        <w:tc>
          <w:tcPr>
            <w:tcW w:w="5040" w:type="dxa"/>
            <w:tcBorders>
              <w:top w:val="single" w:sz="4" w:space="0" w:color="auto"/>
              <w:left w:val="nil"/>
              <w:bottom w:val="nil"/>
              <w:right w:val="nil"/>
            </w:tcBorders>
          </w:tcPr>
          <w:p w14:paraId="14E589CA" w14:textId="77777777" w:rsidR="0027339B" w:rsidRPr="0027339B" w:rsidRDefault="0027339B" w:rsidP="0027339B">
            <w:pPr>
              <w:spacing w:line="256" w:lineRule="auto"/>
              <w:jc w:val="both"/>
              <w:rPr>
                <w:rFonts w:ascii="KBFG Text Bold" w:eastAsia="KBFG Text Bold" w:hAnsi="KBFG Text Bold" w:cs="KB금융 본문체 Bold"/>
                <w:snapToGrid/>
                <w:kern w:val="12"/>
                <w:sz w:val="14"/>
                <w:szCs w:val="14"/>
              </w:rPr>
            </w:pPr>
          </w:p>
          <w:p w14:paraId="44E3B89D" w14:textId="77777777" w:rsidR="0027339B" w:rsidRPr="0027339B" w:rsidRDefault="0027339B" w:rsidP="0027339B">
            <w:pPr>
              <w:spacing w:before="120" w:line="256" w:lineRule="auto"/>
              <w:jc w:val="both"/>
              <w:rPr>
                <w:rFonts w:ascii="KBFG Text Bold" w:eastAsia="KBFG Text Bold" w:hAnsi="KBFG Text Bold" w:cs="KB금융 본문체 Bold"/>
                <w:snapToGrid/>
                <w:kern w:val="12"/>
                <w:sz w:val="14"/>
                <w:szCs w:val="14"/>
              </w:rPr>
            </w:pPr>
            <w:r w:rsidRPr="0027339B">
              <w:rPr>
                <w:rFonts w:ascii="KBFG Text Bold" w:eastAsia="KBFG Text Bold" w:hAnsi="KBFG Text Bold" w:cs="KB금융 본문체 Bold" w:hint="eastAsia"/>
                <w:snapToGrid/>
                <w:kern w:val="12"/>
                <w:sz w:val="14"/>
                <w:szCs w:val="14"/>
              </w:rPr>
              <w:t>Nguyen Xuan Binh – Head of Research</w:t>
            </w:r>
          </w:p>
          <w:p w14:paraId="6F2E3BA5" w14:textId="77777777" w:rsidR="0027339B" w:rsidRPr="0027339B" w:rsidRDefault="0027339B" w:rsidP="0027339B">
            <w:pPr>
              <w:spacing w:line="256" w:lineRule="auto"/>
              <w:jc w:val="both"/>
              <w:rPr>
                <w:rFonts w:cs="KB금융 본문체 Light"/>
                <w:snapToGrid/>
                <w:kern w:val="12"/>
                <w:sz w:val="14"/>
                <w:szCs w:val="14"/>
              </w:rPr>
            </w:pPr>
            <w:r w:rsidRPr="0027339B">
              <w:rPr>
                <w:rFonts w:cs="KB금융 본문체 Light" w:hint="eastAsia"/>
                <w:snapToGrid/>
                <w:kern w:val="12"/>
                <w:sz w:val="14"/>
                <w:szCs w:val="14"/>
              </w:rPr>
              <w:t>binhnx@kbsec.com.vn</w:t>
            </w:r>
          </w:p>
        </w:tc>
        <w:tc>
          <w:tcPr>
            <w:tcW w:w="5040" w:type="dxa"/>
            <w:tcBorders>
              <w:top w:val="single" w:sz="4" w:space="0" w:color="auto"/>
              <w:left w:val="nil"/>
              <w:bottom w:val="nil"/>
              <w:right w:val="nil"/>
            </w:tcBorders>
          </w:tcPr>
          <w:p w14:paraId="5BB31643" w14:textId="77777777" w:rsidR="0027339B" w:rsidRPr="0027339B" w:rsidRDefault="0027339B" w:rsidP="0027339B">
            <w:pPr>
              <w:spacing w:line="256" w:lineRule="auto"/>
              <w:jc w:val="both"/>
              <w:rPr>
                <w:rFonts w:cs="KB금융 본문체 Light"/>
                <w:snapToGrid/>
                <w:kern w:val="12"/>
                <w:sz w:val="14"/>
                <w:szCs w:val="14"/>
              </w:rPr>
            </w:pPr>
          </w:p>
          <w:p w14:paraId="0069E2C8" w14:textId="77777777" w:rsidR="0027339B" w:rsidRPr="0027339B" w:rsidRDefault="0027339B" w:rsidP="0027339B">
            <w:pPr>
              <w:spacing w:before="120" w:line="256" w:lineRule="auto"/>
              <w:jc w:val="both"/>
              <w:rPr>
                <w:rFonts w:ascii="KBFG Text Bold" w:eastAsia="KBFG Text Bold" w:hAnsi="KBFG Text Bold" w:cs="KB금융 본문체 Bold"/>
                <w:snapToGrid/>
                <w:kern w:val="12"/>
                <w:sz w:val="14"/>
                <w:szCs w:val="14"/>
              </w:rPr>
            </w:pPr>
            <w:r w:rsidRPr="0027339B">
              <w:rPr>
                <w:rFonts w:ascii="KBFG Text Bold" w:eastAsia="KBFG Text Bold" w:hAnsi="KBFG Text Bold" w:cs="KB금융 본문체 Bold" w:hint="eastAsia"/>
                <w:snapToGrid/>
                <w:kern w:val="12"/>
                <w:sz w:val="14"/>
                <w:szCs w:val="14"/>
              </w:rPr>
              <w:t>Research Division</w:t>
            </w:r>
          </w:p>
          <w:p w14:paraId="792DCF58" w14:textId="77777777" w:rsidR="0027339B" w:rsidRPr="0027339B" w:rsidRDefault="0027339B" w:rsidP="0027339B">
            <w:pPr>
              <w:spacing w:line="256" w:lineRule="auto"/>
              <w:jc w:val="both"/>
              <w:rPr>
                <w:rFonts w:ascii="Calibri" w:hAnsi="Calibri" w:cs="Calibri"/>
                <w:snapToGrid/>
                <w:kern w:val="12"/>
                <w:sz w:val="14"/>
                <w:szCs w:val="14"/>
              </w:rPr>
            </w:pPr>
            <w:r w:rsidRPr="0027339B">
              <w:rPr>
                <w:rFonts w:cs="KB금융 본문체 Light" w:hint="eastAsia"/>
                <w:snapToGrid/>
                <w:kern w:val="12"/>
                <w:sz w:val="14"/>
                <w:szCs w:val="14"/>
              </w:rPr>
              <w:t>research@kbsec.com.vn</w:t>
            </w:r>
          </w:p>
        </w:tc>
      </w:tr>
      <w:tr w:rsidR="0027339B" w:rsidRPr="0027339B" w14:paraId="1A09352F" w14:textId="77777777" w:rsidTr="0027339B">
        <w:trPr>
          <w:trHeight w:val="3686"/>
        </w:trPr>
        <w:tc>
          <w:tcPr>
            <w:tcW w:w="5040" w:type="dxa"/>
          </w:tcPr>
          <w:p w14:paraId="3F3F2695" w14:textId="77777777" w:rsidR="0027339B" w:rsidRPr="0027339B" w:rsidRDefault="0027339B" w:rsidP="0027339B">
            <w:pPr>
              <w:spacing w:line="256" w:lineRule="auto"/>
              <w:jc w:val="both"/>
              <w:rPr>
                <w:rFonts w:ascii="KBFG Display Bold" w:eastAsia="KBFG Display Bold" w:hAnsi="KBFG Display Bold" w:cs="KB금융 본문체 Bold"/>
                <w:snapToGrid/>
                <w:kern w:val="12"/>
                <w:sz w:val="16"/>
                <w:szCs w:val="16"/>
              </w:rPr>
            </w:pPr>
          </w:p>
          <w:p w14:paraId="74B7FA51" w14:textId="77777777" w:rsidR="0027339B" w:rsidRPr="0027339B" w:rsidRDefault="0027339B" w:rsidP="0027339B">
            <w:pPr>
              <w:spacing w:before="120" w:line="256" w:lineRule="auto"/>
              <w:jc w:val="both"/>
              <w:rPr>
                <w:rFonts w:ascii="KBFG Display Bold" w:eastAsia="KBFG Display Bold" w:hAnsi="KBFG Display Bold" w:cs="KB금융 본문체 Bold"/>
                <w:snapToGrid/>
                <w:kern w:val="12"/>
                <w:szCs w:val="18"/>
              </w:rPr>
            </w:pPr>
            <w:r w:rsidRPr="0027339B">
              <w:rPr>
                <w:rFonts w:ascii="KBFG Display Bold" w:eastAsia="KBFG Display Bold" w:hAnsi="KBFG Display Bold" w:cs="KB금융 본문체 Bold" w:hint="eastAsia"/>
                <w:snapToGrid/>
                <w:kern w:val="12"/>
                <w:szCs w:val="18"/>
              </w:rPr>
              <w:t>Equity</w:t>
            </w:r>
          </w:p>
          <w:p w14:paraId="510AED9C" w14:textId="77777777" w:rsidR="0027339B" w:rsidRPr="0027339B" w:rsidRDefault="0027339B" w:rsidP="0027339B">
            <w:pPr>
              <w:spacing w:before="120" w:line="256" w:lineRule="auto"/>
              <w:jc w:val="both"/>
              <w:rPr>
                <w:rFonts w:ascii="KBFG Text Bold" w:eastAsia="KBFG Text Bold" w:hAnsi="KBFG Text Bold" w:cs="KB금융 본문체 Bold"/>
                <w:snapToGrid/>
                <w:kern w:val="12"/>
                <w:sz w:val="16"/>
                <w:szCs w:val="16"/>
              </w:rPr>
            </w:pPr>
            <w:r w:rsidRPr="0027339B">
              <w:rPr>
                <w:rFonts w:ascii="KBFG Text Bold" w:eastAsia="KBFG Text Bold" w:hAnsi="KBFG Text Bold" w:cs="KB금융 본문체 Bold" w:hint="eastAsia"/>
                <w:snapToGrid/>
                <w:kern w:val="12"/>
                <w:sz w:val="16"/>
                <w:szCs w:val="16"/>
              </w:rPr>
              <w:t>Banks, Insurance &amp; Securities</w:t>
            </w:r>
          </w:p>
          <w:p w14:paraId="2B4A6100" w14:textId="77777777" w:rsidR="0027339B" w:rsidRPr="0027339B" w:rsidRDefault="0027339B" w:rsidP="0027339B">
            <w:pPr>
              <w:spacing w:before="120" w:line="256" w:lineRule="auto"/>
              <w:jc w:val="both"/>
              <w:rPr>
                <w:rFonts w:ascii="KBFG Text Bold" w:eastAsia="KBFG Text Bold" w:hAnsi="KBFG Text Bold" w:cs="KB금융 본문체 Bold"/>
                <w:snapToGrid/>
                <w:kern w:val="12"/>
                <w:sz w:val="14"/>
                <w:szCs w:val="14"/>
              </w:rPr>
            </w:pPr>
            <w:r w:rsidRPr="0027339B">
              <w:rPr>
                <w:rFonts w:ascii="KBFG Text Bold" w:eastAsia="KBFG Text Bold" w:hAnsi="KBFG Text Bold" w:cs="KB금융 본문체 Bold" w:hint="eastAsia"/>
                <w:snapToGrid/>
                <w:kern w:val="12"/>
                <w:sz w:val="14"/>
                <w:szCs w:val="14"/>
              </w:rPr>
              <w:t>Nguyen Anh Tung - Manager</w:t>
            </w:r>
          </w:p>
          <w:p w14:paraId="5F7802FB" w14:textId="77777777" w:rsidR="0027339B" w:rsidRPr="0027339B" w:rsidRDefault="0027339B" w:rsidP="0027339B">
            <w:pPr>
              <w:spacing w:line="256" w:lineRule="auto"/>
              <w:jc w:val="both"/>
              <w:rPr>
                <w:rFonts w:cs="KB금융 본문체 Light"/>
                <w:snapToGrid/>
                <w:kern w:val="12"/>
                <w:sz w:val="14"/>
                <w:szCs w:val="14"/>
              </w:rPr>
            </w:pPr>
            <w:r w:rsidRPr="0027339B">
              <w:rPr>
                <w:rFonts w:cs="KB금융 본문체 Light" w:hint="eastAsia"/>
                <w:snapToGrid/>
                <w:kern w:val="12"/>
                <w:sz w:val="14"/>
                <w:szCs w:val="14"/>
              </w:rPr>
              <w:t>tungna@kbsec.com.vn</w:t>
            </w:r>
          </w:p>
          <w:p w14:paraId="1A174A0D" w14:textId="77777777" w:rsidR="0027339B" w:rsidRPr="0027339B" w:rsidRDefault="0027339B" w:rsidP="0027339B">
            <w:pPr>
              <w:spacing w:before="120" w:line="256" w:lineRule="auto"/>
              <w:jc w:val="both"/>
              <w:rPr>
                <w:rFonts w:ascii="KBFG Text Bold" w:eastAsia="KBFG Text Bold" w:hAnsi="KBFG Text Bold" w:cs="KB금융 본문체 Bold"/>
                <w:snapToGrid/>
                <w:kern w:val="12"/>
                <w:sz w:val="14"/>
                <w:szCs w:val="14"/>
              </w:rPr>
            </w:pPr>
            <w:r w:rsidRPr="0027339B">
              <w:rPr>
                <w:rFonts w:ascii="KBFG Text Bold" w:eastAsia="KBFG Text Bold" w:hAnsi="KBFG Text Bold" w:cs="KB금융 본문체 Bold" w:hint="eastAsia"/>
                <w:snapToGrid/>
                <w:kern w:val="12"/>
                <w:sz w:val="14"/>
                <w:szCs w:val="14"/>
              </w:rPr>
              <w:t>Pham Phuong Linh - Analyst</w:t>
            </w:r>
          </w:p>
          <w:p w14:paraId="0A8099A9" w14:textId="77777777" w:rsidR="0027339B" w:rsidRPr="0027339B" w:rsidRDefault="0027339B" w:rsidP="0027339B">
            <w:pPr>
              <w:spacing w:line="256" w:lineRule="auto"/>
              <w:jc w:val="both"/>
              <w:rPr>
                <w:rFonts w:cs="KB금융 본문체 Light"/>
                <w:snapToGrid/>
                <w:kern w:val="12"/>
                <w:sz w:val="14"/>
                <w:szCs w:val="14"/>
              </w:rPr>
            </w:pPr>
            <w:r w:rsidRPr="0027339B">
              <w:rPr>
                <w:rFonts w:cs="KB금융 본문체 Light" w:hint="eastAsia"/>
                <w:snapToGrid/>
                <w:kern w:val="12"/>
                <w:sz w:val="14"/>
                <w:szCs w:val="14"/>
              </w:rPr>
              <w:t>linhpp@kbsec.com.vn</w:t>
            </w:r>
          </w:p>
          <w:p w14:paraId="0293A012" w14:textId="77777777" w:rsidR="0027339B" w:rsidRPr="0027339B" w:rsidRDefault="0027339B" w:rsidP="0027339B">
            <w:pPr>
              <w:spacing w:line="256" w:lineRule="auto"/>
              <w:jc w:val="both"/>
              <w:rPr>
                <w:rFonts w:cs="KB금융 본문체 Light"/>
                <w:snapToGrid/>
                <w:kern w:val="12"/>
                <w:sz w:val="14"/>
                <w:szCs w:val="14"/>
              </w:rPr>
            </w:pPr>
          </w:p>
          <w:p w14:paraId="74708470" w14:textId="77777777" w:rsidR="0027339B" w:rsidRPr="0027339B" w:rsidRDefault="0027339B" w:rsidP="0027339B">
            <w:pPr>
              <w:spacing w:before="120" w:line="256" w:lineRule="auto"/>
              <w:jc w:val="both"/>
              <w:rPr>
                <w:rFonts w:ascii="KBFG Text Bold" w:eastAsia="KBFG Text Bold" w:hAnsi="KBFG Text Bold" w:cs="KB금융 본문체 Bold"/>
                <w:snapToGrid/>
                <w:kern w:val="12"/>
                <w:sz w:val="16"/>
                <w:szCs w:val="16"/>
              </w:rPr>
            </w:pPr>
            <w:r w:rsidRPr="0027339B">
              <w:rPr>
                <w:rFonts w:ascii="KBFG Text Bold" w:eastAsia="KBFG Text Bold" w:hAnsi="KBFG Text Bold" w:cs="KB금융 본문체 Bold" w:hint="eastAsia"/>
                <w:snapToGrid/>
                <w:kern w:val="12"/>
                <w:sz w:val="16"/>
                <w:szCs w:val="16"/>
              </w:rPr>
              <w:t>Real Estate, Construction &amp; Materials</w:t>
            </w:r>
          </w:p>
          <w:p w14:paraId="1B95BBD8" w14:textId="77777777" w:rsidR="0027339B" w:rsidRPr="0027339B" w:rsidRDefault="0027339B" w:rsidP="0027339B">
            <w:pPr>
              <w:spacing w:before="120" w:line="256" w:lineRule="auto"/>
              <w:jc w:val="both"/>
              <w:rPr>
                <w:rFonts w:ascii="KBFG Text Bold" w:eastAsia="KBFG Text Bold" w:hAnsi="KBFG Text Bold" w:cs="KB금융 본문체 Bold"/>
                <w:snapToGrid/>
                <w:kern w:val="12"/>
                <w:sz w:val="14"/>
                <w:szCs w:val="14"/>
              </w:rPr>
            </w:pPr>
            <w:r w:rsidRPr="0027339B">
              <w:rPr>
                <w:rFonts w:ascii="KBFG Text Bold" w:eastAsia="KBFG Text Bold" w:hAnsi="KBFG Text Bold" w:cs="KB금융 본문체 Bold" w:hint="eastAsia"/>
                <w:snapToGrid/>
                <w:kern w:val="12"/>
                <w:sz w:val="14"/>
                <w:szCs w:val="14"/>
              </w:rPr>
              <w:t>Pham Hoang Bao Nga - Senior Analyst</w:t>
            </w:r>
          </w:p>
          <w:p w14:paraId="5A542150" w14:textId="77777777" w:rsidR="0027339B" w:rsidRPr="0027339B" w:rsidRDefault="0027339B" w:rsidP="0027339B">
            <w:pPr>
              <w:spacing w:line="256" w:lineRule="auto"/>
              <w:jc w:val="both"/>
              <w:rPr>
                <w:rFonts w:cs="KB금융 본문체 Light"/>
                <w:snapToGrid/>
                <w:kern w:val="12"/>
                <w:sz w:val="14"/>
                <w:szCs w:val="14"/>
              </w:rPr>
            </w:pPr>
            <w:r w:rsidRPr="0027339B">
              <w:rPr>
                <w:rFonts w:cs="KB금융 본문체 Light" w:hint="eastAsia"/>
                <w:snapToGrid/>
                <w:kern w:val="12"/>
                <w:sz w:val="14"/>
                <w:szCs w:val="14"/>
              </w:rPr>
              <w:t>ngaphb@kbsec.com.vn</w:t>
            </w:r>
          </w:p>
          <w:p w14:paraId="688EDDB7" w14:textId="77777777" w:rsidR="0027339B" w:rsidRPr="0027339B" w:rsidRDefault="0027339B" w:rsidP="0027339B">
            <w:pPr>
              <w:spacing w:before="120" w:line="256" w:lineRule="auto"/>
              <w:jc w:val="both"/>
              <w:rPr>
                <w:rFonts w:ascii="KBFG Text Bold" w:eastAsia="KBFG Text Bold" w:hAnsi="KBFG Text Bold" w:cs="KB금융 본문체 Bold"/>
                <w:snapToGrid/>
                <w:kern w:val="12"/>
                <w:sz w:val="14"/>
                <w:szCs w:val="14"/>
              </w:rPr>
            </w:pPr>
            <w:r w:rsidRPr="0027339B">
              <w:rPr>
                <w:rFonts w:ascii="KBFG Text Bold" w:eastAsia="KBFG Text Bold" w:hAnsi="KBFG Text Bold" w:cs="KB금융 본문체 Bold" w:hint="eastAsia"/>
                <w:snapToGrid/>
                <w:kern w:val="12"/>
                <w:sz w:val="14"/>
                <w:szCs w:val="14"/>
              </w:rPr>
              <w:t>Nguyen Duong Nguyen - Analyst</w:t>
            </w:r>
          </w:p>
          <w:p w14:paraId="4BDCA5A6" w14:textId="77777777" w:rsidR="0027339B" w:rsidRPr="0027339B" w:rsidRDefault="0027339B" w:rsidP="0027339B">
            <w:pPr>
              <w:spacing w:line="256" w:lineRule="auto"/>
              <w:jc w:val="both"/>
              <w:rPr>
                <w:rFonts w:cs="KB금융 본문체 Light"/>
                <w:snapToGrid/>
                <w:kern w:val="12"/>
                <w:sz w:val="14"/>
                <w:szCs w:val="14"/>
              </w:rPr>
            </w:pPr>
            <w:r w:rsidRPr="0027339B">
              <w:rPr>
                <w:rFonts w:cs="KB금융 본문체 Light" w:hint="eastAsia"/>
                <w:snapToGrid/>
                <w:kern w:val="12"/>
                <w:sz w:val="14"/>
                <w:szCs w:val="14"/>
              </w:rPr>
              <w:t>nguyennd1@kbsec.com.vn</w:t>
            </w:r>
          </w:p>
          <w:p w14:paraId="6ACBA7EB" w14:textId="77777777" w:rsidR="0027339B" w:rsidRPr="0027339B" w:rsidRDefault="0027339B" w:rsidP="0027339B">
            <w:pPr>
              <w:spacing w:line="256" w:lineRule="auto"/>
              <w:jc w:val="both"/>
              <w:rPr>
                <w:rFonts w:cs="KB금융 본문체 Light"/>
                <w:snapToGrid/>
                <w:kern w:val="12"/>
                <w:sz w:val="14"/>
                <w:szCs w:val="14"/>
              </w:rPr>
            </w:pPr>
          </w:p>
          <w:p w14:paraId="21F5E1AD" w14:textId="77777777" w:rsidR="0027339B" w:rsidRPr="0027339B" w:rsidRDefault="0027339B" w:rsidP="0027339B">
            <w:pPr>
              <w:spacing w:before="120" w:line="256" w:lineRule="auto"/>
              <w:jc w:val="both"/>
              <w:rPr>
                <w:rFonts w:ascii="KBFG Text Bold" w:eastAsia="KBFG Text Bold" w:hAnsi="KBFG Text Bold" w:cs="KB금융 본문체 Bold"/>
                <w:snapToGrid/>
                <w:kern w:val="12"/>
                <w:sz w:val="16"/>
                <w:szCs w:val="16"/>
              </w:rPr>
            </w:pPr>
            <w:r w:rsidRPr="0027339B">
              <w:rPr>
                <w:rFonts w:ascii="KBFG Text Bold" w:eastAsia="KBFG Text Bold" w:hAnsi="KBFG Text Bold" w:cs="KB금융 본문체 Bold" w:hint="eastAsia"/>
                <w:snapToGrid/>
                <w:kern w:val="12"/>
                <w:sz w:val="16"/>
                <w:szCs w:val="16"/>
              </w:rPr>
              <w:t>Retails &amp; Consumers</w:t>
            </w:r>
          </w:p>
          <w:p w14:paraId="70DF74B3" w14:textId="77777777" w:rsidR="0027339B" w:rsidRPr="0027339B" w:rsidRDefault="0027339B" w:rsidP="0027339B">
            <w:pPr>
              <w:spacing w:before="120" w:line="256" w:lineRule="auto"/>
              <w:jc w:val="both"/>
              <w:rPr>
                <w:rFonts w:ascii="KBFG Text Bold" w:eastAsia="KBFG Text Bold" w:hAnsi="KBFG Text Bold" w:cs="KB금융 본문체 Bold"/>
                <w:snapToGrid/>
                <w:kern w:val="12"/>
                <w:sz w:val="14"/>
                <w:szCs w:val="14"/>
              </w:rPr>
            </w:pPr>
            <w:r w:rsidRPr="0027339B">
              <w:rPr>
                <w:rFonts w:ascii="KBFG Text Bold" w:eastAsia="KBFG Text Bold" w:hAnsi="KBFG Text Bold" w:cs="KB금융 본문체 Bold" w:hint="eastAsia"/>
                <w:snapToGrid/>
                <w:kern w:val="12"/>
                <w:sz w:val="14"/>
                <w:szCs w:val="14"/>
              </w:rPr>
              <w:t>Nguyen Truong Giang - Analyst</w:t>
            </w:r>
          </w:p>
          <w:p w14:paraId="478CE279" w14:textId="77777777" w:rsidR="0027339B" w:rsidRPr="0027339B" w:rsidRDefault="0027339B" w:rsidP="0027339B">
            <w:pPr>
              <w:spacing w:line="256" w:lineRule="auto"/>
              <w:jc w:val="both"/>
              <w:rPr>
                <w:rFonts w:cs="KB금융 본문체 Light"/>
                <w:snapToGrid/>
                <w:kern w:val="12"/>
                <w:sz w:val="14"/>
                <w:szCs w:val="14"/>
              </w:rPr>
            </w:pPr>
            <w:r w:rsidRPr="0027339B">
              <w:rPr>
                <w:rFonts w:cs="KB금융 본문체 Light" w:hint="eastAsia"/>
                <w:snapToGrid/>
                <w:kern w:val="12"/>
                <w:sz w:val="14"/>
                <w:szCs w:val="14"/>
              </w:rPr>
              <w:t>giangnt1@kbsec.com.vn</w:t>
            </w:r>
          </w:p>
          <w:p w14:paraId="02D92815" w14:textId="77777777" w:rsidR="0027339B" w:rsidRPr="0027339B" w:rsidRDefault="0027339B" w:rsidP="0027339B">
            <w:pPr>
              <w:spacing w:line="256" w:lineRule="auto"/>
              <w:jc w:val="both"/>
              <w:rPr>
                <w:rFonts w:cs="KB금융 본문체 Light"/>
                <w:snapToGrid/>
                <w:kern w:val="12"/>
                <w:sz w:val="14"/>
                <w:szCs w:val="14"/>
              </w:rPr>
            </w:pPr>
          </w:p>
          <w:p w14:paraId="5FE36539" w14:textId="77777777" w:rsidR="0027339B" w:rsidRPr="0027339B" w:rsidRDefault="0027339B" w:rsidP="0027339B">
            <w:pPr>
              <w:spacing w:before="120" w:line="256" w:lineRule="auto"/>
              <w:jc w:val="both"/>
              <w:rPr>
                <w:rFonts w:ascii="KBFG Text Bold" w:eastAsia="KBFG Text Bold" w:hAnsi="KBFG Text Bold" w:cs="KB금융 본문체 Bold"/>
                <w:snapToGrid/>
                <w:kern w:val="12"/>
                <w:sz w:val="16"/>
                <w:szCs w:val="16"/>
              </w:rPr>
            </w:pPr>
            <w:r w:rsidRPr="0027339B">
              <w:rPr>
                <w:rFonts w:ascii="KBFG Text Bold" w:eastAsia="KBFG Text Bold" w:hAnsi="KBFG Text Bold" w:cs="KB금융 본문체 Bold" w:hint="eastAsia"/>
                <w:snapToGrid/>
                <w:kern w:val="12"/>
                <w:sz w:val="16"/>
                <w:szCs w:val="16"/>
              </w:rPr>
              <w:t>Industrial Real Estate, Logistics</w:t>
            </w:r>
          </w:p>
          <w:p w14:paraId="31AF335F" w14:textId="77777777" w:rsidR="0027339B" w:rsidRPr="0027339B" w:rsidRDefault="0027339B" w:rsidP="0027339B">
            <w:pPr>
              <w:spacing w:before="120" w:line="256" w:lineRule="auto"/>
              <w:jc w:val="both"/>
              <w:rPr>
                <w:rFonts w:ascii="KBFG Text Bold" w:eastAsia="KBFG Text Bold" w:hAnsi="KBFG Text Bold" w:cs="KB금융 본문체 Bold"/>
                <w:snapToGrid/>
                <w:kern w:val="12"/>
                <w:sz w:val="14"/>
                <w:szCs w:val="14"/>
              </w:rPr>
            </w:pPr>
            <w:r w:rsidRPr="0027339B">
              <w:rPr>
                <w:rFonts w:ascii="KBFG Text Bold" w:eastAsia="KBFG Text Bold" w:hAnsi="KBFG Text Bold" w:cs="KB금융 본문체 Bold" w:hint="eastAsia"/>
                <w:snapToGrid/>
                <w:kern w:val="12"/>
                <w:sz w:val="14"/>
                <w:szCs w:val="14"/>
              </w:rPr>
              <w:t>Nguyen Thi Ngoc Anh - Analyst</w:t>
            </w:r>
          </w:p>
          <w:p w14:paraId="29529110" w14:textId="77777777" w:rsidR="0027339B" w:rsidRPr="0027339B" w:rsidRDefault="0027339B" w:rsidP="0027339B">
            <w:pPr>
              <w:spacing w:line="256" w:lineRule="auto"/>
              <w:jc w:val="both"/>
              <w:rPr>
                <w:rFonts w:cs="KB금융 본문체 Light"/>
                <w:snapToGrid/>
                <w:kern w:val="12"/>
                <w:sz w:val="14"/>
                <w:szCs w:val="14"/>
              </w:rPr>
            </w:pPr>
            <w:r w:rsidRPr="0027339B">
              <w:rPr>
                <w:rFonts w:cs="KB금융 본문체 Light" w:hint="eastAsia"/>
                <w:snapToGrid/>
                <w:kern w:val="12"/>
                <w:sz w:val="14"/>
                <w:szCs w:val="14"/>
              </w:rPr>
              <w:t>anhntn@kbsec.com.vn</w:t>
            </w:r>
          </w:p>
          <w:p w14:paraId="5F93EC93" w14:textId="77777777" w:rsidR="0027339B" w:rsidRPr="0027339B" w:rsidRDefault="0027339B" w:rsidP="0027339B">
            <w:pPr>
              <w:spacing w:line="256" w:lineRule="auto"/>
              <w:jc w:val="both"/>
              <w:rPr>
                <w:rFonts w:ascii="Source Sans Pro" w:hAnsi="Source Sans Pro" w:cs="KB금융 본문체 Light"/>
                <w:snapToGrid/>
                <w:kern w:val="12"/>
                <w:sz w:val="16"/>
                <w:szCs w:val="14"/>
              </w:rPr>
            </w:pPr>
          </w:p>
          <w:p w14:paraId="48E7B478" w14:textId="77777777" w:rsidR="0027339B" w:rsidRPr="0027339B" w:rsidRDefault="0027339B" w:rsidP="0027339B">
            <w:pPr>
              <w:spacing w:before="120" w:line="256" w:lineRule="auto"/>
              <w:jc w:val="both"/>
              <w:rPr>
                <w:rFonts w:ascii="KBFG Text Bold" w:eastAsia="KBFG Text Bold" w:hAnsi="KBFG Text Bold" w:cs="KB금융 본문체 Bold"/>
                <w:snapToGrid/>
                <w:kern w:val="12"/>
                <w:sz w:val="16"/>
                <w:szCs w:val="16"/>
              </w:rPr>
            </w:pPr>
            <w:r w:rsidRPr="0027339B">
              <w:rPr>
                <w:rFonts w:ascii="KBFG Text Bold" w:eastAsia="KBFG Text Bold" w:hAnsi="KBFG Text Bold" w:cs="KB금융 본문체 Bold" w:hint="eastAsia"/>
                <w:snapToGrid/>
                <w:kern w:val="12"/>
                <w:sz w:val="16"/>
                <w:szCs w:val="16"/>
              </w:rPr>
              <w:t>Information Technology, Utilities</w:t>
            </w:r>
          </w:p>
          <w:p w14:paraId="7C033D1A" w14:textId="77777777" w:rsidR="0027339B" w:rsidRPr="0027339B" w:rsidRDefault="0027339B" w:rsidP="0027339B">
            <w:pPr>
              <w:spacing w:before="120" w:line="256" w:lineRule="auto"/>
              <w:jc w:val="both"/>
              <w:rPr>
                <w:rFonts w:ascii="KBFG Text Bold" w:eastAsia="KBFG Text Bold" w:hAnsi="KBFG Text Bold" w:cs="KB금융 본문체 Bold"/>
                <w:snapToGrid/>
                <w:kern w:val="12"/>
                <w:sz w:val="14"/>
                <w:szCs w:val="14"/>
              </w:rPr>
            </w:pPr>
            <w:r w:rsidRPr="0027339B">
              <w:rPr>
                <w:rFonts w:ascii="KBFG Text Bold" w:eastAsia="KBFG Text Bold" w:hAnsi="KBFG Text Bold" w:cs="KB금융 본문체 Bold" w:hint="eastAsia"/>
                <w:snapToGrid/>
                <w:kern w:val="12"/>
                <w:sz w:val="14"/>
                <w:szCs w:val="14"/>
              </w:rPr>
              <w:t>Nguyen Dinh Thuan - Analyst</w:t>
            </w:r>
          </w:p>
          <w:p w14:paraId="234C02A9" w14:textId="77777777" w:rsidR="0027339B" w:rsidRPr="0027339B" w:rsidRDefault="0027339B" w:rsidP="0027339B">
            <w:pPr>
              <w:spacing w:line="256" w:lineRule="auto"/>
              <w:jc w:val="both"/>
              <w:rPr>
                <w:rFonts w:cs="KB금융 본문체 Light"/>
                <w:snapToGrid/>
                <w:kern w:val="12"/>
                <w:sz w:val="14"/>
                <w:szCs w:val="14"/>
              </w:rPr>
            </w:pPr>
            <w:r w:rsidRPr="0027339B">
              <w:rPr>
                <w:rFonts w:cs="KB금융 본문체 Light" w:hint="eastAsia"/>
                <w:snapToGrid/>
                <w:kern w:val="12"/>
                <w:sz w:val="14"/>
                <w:szCs w:val="14"/>
              </w:rPr>
              <w:t>thuannd@kbsec.com.vn</w:t>
            </w:r>
          </w:p>
          <w:p w14:paraId="360EDCBF" w14:textId="77777777" w:rsidR="0027339B" w:rsidRPr="0027339B" w:rsidRDefault="0027339B" w:rsidP="0027339B">
            <w:pPr>
              <w:spacing w:line="256" w:lineRule="auto"/>
              <w:jc w:val="both"/>
              <w:rPr>
                <w:rFonts w:ascii="Source Sans Pro" w:hAnsi="Source Sans Pro" w:cs="KB금융 본문체 Light"/>
                <w:snapToGrid/>
                <w:kern w:val="12"/>
                <w:sz w:val="16"/>
                <w:szCs w:val="14"/>
              </w:rPr>
            </w:pPr>
          </w:p>
          <w:p w14:paraId="73374C92" w14:textId="77777777" w:rsidR="0027339B" w:rsidRPr="0027339B" w:rsidRDefault="0027339B" w:rsidP="0027339B">
            <w:pPr>
              <w:spacing w:before="120" w:line="256" w:lineRule="auto"/>
              <w:jc w:val="both"/>
              <w:rPr>
                <w:rFonts w:ascii="KBFG Text Bold" w:eastAsia="KBFG Text Bold" w:hAnsi="KBFG Text Bold" w:cs="KB금융 본문체 Bold"/>
                <w:snapToGrid/>
                <w:kern w:val="12"/>
                <w:sz w:val="16"/>
                <w:szCs w:val="16"/>
              </w:rPr>
            </w:pPr>
            <w:r w:rsidRPr="0027339B">
              <w:rPr>
                <w:rFonts w:ascii="KBFG Text Bold" w:eastAsia="KBFG Text Bold" w:hAnsi="KBFG Text Bold" w:cs="KB금융 본문체 Bold" w:hint="eastAsia"/>
                <w:snapToGrid/>
                <w:kern w:val="12"/>
                <w:sz w:val="16"/>
                <w:szCs w:val="16"/>
              </w:rPr>
              <w:t>Oil &amp; Gas, Chemicals</w:t>
            </w:r>
          </w:p>
          <w:p w14:paraId="2B817E4B" w14:textId="77777777" w:rsidR="0027339B" w:rsidRPr="0027339B" w:rsidRDefault="0027339B" w:rsidP="0027339B">
            <w:pPr>
              <w:spacing w:before="120" w:line="256" w:lineRule="auto"/>
              <w:jc w:val="both"/>
              <w:rPr>
                <w:rFonts w:ascii="KBFG Text Bold" w:eastAsia="KBFG Text Bold" w:hAnsi="KBFG Text Bold" w:cs="KB금융 본문체 Bold"/>
                <w:snapToGrid/>
                <w:kern w:val="12"/>
                <w:sz w:val="14"/>
                <w:szCs w:val="14"/>
              </w:rPr>
            </w:pPr>
            <w:r w:rsidRPr="0027339B">
              <w:rPr>
                <w:rFonts w:ascii="KBFG Text Bold" w:eastAsia="KBFG Text Bold" w:hAnsi="KBFG Text Bold" w:cs="KB금융 본문체 Bold" w:hint="eastAsia"/>
                <w:snapToGrid/>
                <w:kern w:val="12"/>
                <w:sz w:val="14"/>
                <w:szCs w:val="14"/>
              </w:rPr>
              <w:t>Pham Minh Hieu - Analyst</w:t>
            </w:r>
          </w:p>
          <w:p w14:paraId="21D6C376" w14:textId="77777777" w:rsidR="0027339B" w:rsidRPr="0027339B" w:rsidRDefault="0027339B" w:rsidP="0027339B">
            <w:pPr>
              <w:spacing w:line="256" w:lineRule="auto"/>
              <w:jc w:val="both"/>
              <w:rPr>
                <w:rFonts w:cs="KB금융 본문체 Light"/>
                <w:snapToGrid/>
                <w:kern w:val="12"/>
                <w:sz w:val="14"/>
                <w:szCs w:val="14"/>
              </w:rPr>
            </w:pPr>
            <w:r w:rsidRPr="0027339B">
              <w:rPr>
                <w:rFonts w:cs="KB금융 본문체 Light" w:hint="eastAsia"/>
                <w:snapToGrid/>
                <w:kern w:val="12"/>
                <w:sz w:val="14"/>
                <w:szCs w:val="14"/>
              </w:rPr>
              <w:t>hieupm@kbsec.com.vn</w:t>
            </w:r>
          </w:p>
          <w:p w14:paraId="471552E5" w14:textId="77777777" w:rsidR="0027339B" w:rsidRPr="0027339B" w:rsidRDefault="0027339B" w:rsidP="0027339B">
            <w:pPr>
              <w:spacing w:line="256" w:lineRule="auto"/>
              <w:jc w:val="both"/>
              <w:rPr>
                <w:rFonts w:ascii="Source Sans Pro" w:hAnsi="Source Sans Pro" w:cs="KB금융 본문체 Light"/>
                <w:snapToGrid/>
                <w:kern w:val="12"/>
                <w:sz w:val="16"/>
                <w:szCs w:val="14"/>
              </w:rPr>
            </w:pPr>
          </w:p>
        </w:tc>
        <w:tc>
          <w:tcPr>
            <w:tcW w:w="5040" w:type="dxa"/>
          </w:tcPr>
          <w:p w14:paraId="1819EA8B" w14:textId="77777777" w:rsidR="0027339B" w:rsidRPr="0027339B" w:rsidRDefault="0027339B" w:rsidP="0027339B">
            <w:pPr>
              <w:spacing w:line="256" w:lineRule="auto"/>
              <w:jc w:val="both"/>
              <w:rPr>
                <w:rFonts w:ascii="KBFG Display Bold" w:eastAsia="KBFG Display Bold" w:hAnsi="KBFG Display Bold" w:cs="KB금융 본문체 Bold"/>
                <w:snapToGrid/>
                <w:kern w:val="12"/>
                <w:sz w:val="16"/>
                <w:szCs w:val="16"/>
              </w:rPr>
            </w:pPr>
          </w:p>
          <w:p w14:paraId="354797AF" w14:textId="77777777" w:rsidR="0027339B" w:rsidRPr="0027339B" w:rsidRDefault="0027339B" w:rsidP="0027339B">
            <w:pPr>
              <w:spacing w:before="120" w:line="256" w:lineRule="auto"/>
              <w:jc w:val="both"/>
              <w:rPr>
                <w:rFonts w:ascii="KBFG Display Bold" w:eastAsia="KBFG Display Bold" w:hAnsi="KBFG Display Bold" w:cs="KB금융 본문체 Bold"/>
                <w:snapToGrid/>
                <w:kern w:val="12"/>
                <w:szCs w:val="18"/>
              </w:rPr>
            </w:pPr>
            <w:r w:rsidRPr="0027339B">
              <w:rPr>
                <w:rFonts w:ascii="KBFG Display Bold" w:eastAsia="KBFG Display Bold" w:hAnsi="KBFG Display Bold" w:cs="KB금융 본문체 Bold" w:hint="eastAsia"/>
                <w:snapToGrid/>
                <w:kern w:val="12"/>
                <w:szCs w:val="18"/>
              </w:rPr>
              <w:t>Macro/Strategy</w:t>
            </w:r>
          </w:p>
          <w:p w14:paraId="1692EF77" w14:textId="77777777" w:rsidR="0027339B" w:rsidRPr="0027339B" w:rsidRDefault="0027339B" w:rsidP="0027339B">
            <w:pPr>
              <w:spacing w:before="120" w:line="256" w:lineRule="auto"/>
              <w:jc w:val="both"/>
              <w:rPr>
                <w:rFonts w:ascii="KBFG Text Bold" w:eastAsia="KBFG Text Bold" w:hAnsi="KBFG Text Bold" w:cs="KB금융 본문체 Bold"/>
                <w:snapToGrid/>
                <w:kern w:val="12"/>
                <w:sz w:val="14"/>
                <w:szCs w:val="14"/>
              </w:rPr>
            </w:pPr>
            <w:r w:rsidRPr="0027339B">
              <w:rPr>
                <w:rFonts w:ascii="KBFG Text Bold" w:eastAsia="KBFG Text Bold" w:hAnsi="KBFG Text Bold" w:cs="KB금융 본문체 Bold" w:hint="eastAsia"/>
                <w:snapToGrid/>
                <w:kern w:val="12"/>
                <w:sz w:val="14"/>
                <w:szCs w:val="14"/>
              </w:rPr>
              <w:t>Tran Duc Anh - Head of Macro &amp; Strategy</w:t>
            </w:r>
          </w:p>
          <w:p w14:paraId="1DF9685F" w14:textId="77777777" w:rsidR="0027339B" w:rsidRPr="0027339B" w:rsidRDefault="0027339B" w:rsidP="0027339B">
            <w:pPr>
              <w:spacing w:line="256" w:lineRule="auto"/>
              <w:jc w:val="both"/>
              <w:rPr>
                <w:rFonts w:cs="KB금융 본문체 Light"/>
                <w:snapToGrid/>
                <w:kern w:val="12"/>
                <w:sz w:val="14"/>
                <w:szCs w:val="14"/>
              </w:rPr>
            </w:pPr>
            <w:r w:rsidRPr="0027339B">
              <w:rPr>
                <w:rFonts w:cs="KB금융 본문체 Light" w:hint="eastAsia"/>
                <w:snapToGrid/>
                <w:kern w:val="12"/>
                <w:sz w:val="14"/>
                <w:szCs w:val="14"/>
              </w:rPr>
              <w:t>anhtd@kbsec.com.vn</w:t>
            </w:r>
          </w:p>
          <w:p w14:paraId="0425CA93" w14:textId="77777777" w:rsidR="0027339B" w:rsidRPr="0027339B" w:rsidRDefault="0027339B" w:rsidP="0027339B">
            <w:pPr>
              <w:spacing w:line="256" w:lineRule="auto"/>
              <w:jc w:val="both"/>
              <w:rPr>
                <w:rFonts w:ascii="KBFG Text Bold" w:eastAsia="KBFG Text Bold" w:hAnsi="KBFG Text Bold" w:cs="KB금융 본문체 Bold"/>
                <w:snapToGrid/>
                <w:kern w:val="12"/>
                <w:sz w:val="14"/>
                <w:szCs w:val="14"/>
              </w:rPr>
            </w:pPr>
          </w:p>
          <w:p w14:paraId="38D91683" w14:textId="77777777" w:rsidR="0027339B" w:rsidRPr="0027339B" w:rsidRDefault="0027339B" w:rsidP="0027339B">
            <w:pPr>
              <w:spacing w:before="120" w:line="256" w:lineRule="auto"/>
              <w:jc w:val="both"/>
              <w:rPr>
                <w:rFonts w:ascii="KBFG Text Bold" w:eastAsia="KBFG Text Bold" w:hAnsi="KBFG Text Bold" w:cs="KB금융 본문체 Bold"/>
                <w:snapToGrid/>
                <w:kern w:val="12"/>
                <w:sz w:val="16"/>
                <w:szCs w:val="16"/>
              </w:rPr>
            </w:pPr>
            <w:r w:rsidRPr="0027339B">
              <w:rPr>
                <w:rFonts w:ascii="KBFG Text Bold" w:eastAsia="KBFG Text Bold" w:hAnsi="KBFG Text Bold" w:cs="KB금융 본문체 Bold" w:hint="eastAsia"/>
                <w:snapToGrid/>
                <w:kern w:val="12"/>
                <w:sz w:val="16"/>
                <w:szCs w:val="16"/>
              </w:rPr>
              <w:t>Macroeconomics &amp; Banks</w:t>
            </w:r>
          </w:p>
          <w:p w14:paraId="7B416066" w14:textId="77777777" w:rsidR="0027339B" w:rsidRPr="0027339B" w:rsidRDefault="0027339B" w:rsidP="0027339B">
            <w:pPr>
              <w:spacing w:before="120" w:line="256" w:lineRule="auto"/>
              <w:jc w:val="both"/>
              <w:rPr>
                <w:rFonts w:ascii="KBFG Text Bold" w:eastAsia="KBFG Text Bold" w:hAnsi="KBFG Text Bold" w:cs="KB금융 본문체 Bold"/>
                <w:snapToGrid/>
                <w:kern w:val="12"/>
                <w:sz w:val="14"/>
                <w:szCs w:val="14"/>
              </w:rPr>
            </w:pPr>
            <w:r w:rsidRPr="0027339B">
              <w:rPr>
                <w:rFonts w:ascii="KBFG Text Bold" w:eastAsia="KBFG Text Bold" w:hAnsi="KBFG Text Bold" w:cs="KB금융 본문체 Bold" w:hint="eastAsia"/>
                <w:snapToGrid/>
                <w:kern w:val="12"/>
                <w:sz w:val="14"/>
                <w:szCs w:val="14"/>
              </w:rPr>
              <w:t>Ho Duc Thanh - Analyst</w:t>
            </w:r>
          </w:p>
          <w:p w14:paraId="161C2DD5" w14:textId="77777777" w:rsidR="0027339B" w:rsidRPr="0027339B" w:rsidRDefault="0027339B" w:rsidP="0027339B">
            <w:pPr>
              <w:spacing w:line="256" w:lineRule="auto"/>
              <w:jc w:val="both"/>
              <w:rPr>
                <w:rFonts w:cs="KB금융 본문체 Light"/>
                <w:snapToGrid/>
                <w:kern w:val="12"/>
                <w:sz w:val="14"/>
                <w:szCs w:val="14"/>
              </w:rPr>
            </w:pPr>
            <w:r w:rsidRPr="0027339B">
              <w:rPr>
                <w:rFonts w:cs="KB금융 본문체 Light" w:hint="eastAsia"/>
                <w:snapToGrid/>
                <w:kern w:val="12"/>
                <w:sz w:val="14"/>
                <w:szCs w:val="14"/>
              </w:rPr>
              <w:t>thanhhd@kbsec.com.vn</w:t>
            </w:r>
          </w:p>
          <w:p w14:paraId="5216F2C2" w14:textId="77777777" w:rsidR="0027339B" w:rsidRPr="0027339B" w:rsidRDefault="0027339B" w:rsidP="0027339B">
            <w:pPr>
              <w:spacing w:before="120" w:line="256" w:lineRule="auto"/>
              <w:jc w:val="both"/>
              <w:rPr>
                <w:rFonts w:ascii="KBFG Text Bold" w:eastAsia="KBFG Text Bold" w:hAnsi="KBFG Text Bold" w:cs="KB금융 본문체 Bold"/>
                <w:snapToGrid/>
                <w:kern w:val="12"/>
                <w:sz w:val="14"/>
                <w:szCs w:val="14"/>
              </w:rPr>
            </w:pPr>
            <w:r w:rsidRPr="0027339B">
              <w:rPr>
                <w:rFonts w:ascii="KBFG Text Bold" w:eastAsia="KBFG Text Bold" w:hAnsi="KBFG Text Bold" w:cs="KB금융 본문체 Bold" w:hint="eastAsia"/>
                <w:snapToGrid/>
                <w:kern w:val="12"/>
                <w:sz w:val="14"/>
                <w:szCs w:val="14"/>
              </w:rPr>
              <w:t>Vu Thu Uyen - Analyst</w:t>
            </w:r>
          </w:p>
          <w:p w14:paraId="556BE706" w14:textId="77777777" w:rsidR="0027339B" w:rsidRPr="0027339B" w:rsidRDefault="0027339B" w:rsidP="0027339B">
            <w:pPr>
              <w:spacing w:line="256" w:lineRule="auto"/>
              <w:jc w:val="both"/>
              <w:rPr>
                <w:rFonts w:cs="KB금융 본문체 Light"/>
                <w:snapToGrid/>
                <w:kern w:val="12"/>
                <w:sz w:val="14"/>
                <w:szCs w:val="14"/>
              </w:rPr>
            </w:pPr>
            <w:r w:rsidRPr="0027339B">
              <w:rPr>
                <w:rFonts w:cs="KB금융 본문체 Light" w:hint="eastAsia"/>
                <w:snapToGrid/>
                <w:kern w:val="12"/>
                <w:sz w:val="14"/>
                <w:szCs w:val="14"/>
              </w:rPr>
              <w:t>uyenvt@kbsec.com.vn</w:t>
            </w:r>
          </w:p>
          <w:p w14:paraId="278AB643" w14:textId="77777777" w:rsidR="0027339B" w:rsidRPr="0027339B" w:rsidRDefault="0027339B" w:rsidP="0027339B">
            <w:pPr>
              <w:spacing w:line="256" w:lineRule="auto"/>
              <w:jc w:val="both"/>
              <w:rPr>
                <w:rFonts w:ascii="KBFG Text Bold" w:eastAsia="KBFG Text Bold" w:hAnsi="KBFG Text Bold" w:cs="KB금융 본문체 Bold"/>
                <w:snapToGrid/>
                <w:kern w:val="12"/>
                <w:sz w:val="14"/>
                <w:szCs w:val="14"/>
              </w:rPr>
            </w:pPr>
          </w:p>
          <w:p w14:paraId="0F7EDD18" w14:textId="77777777" w:rsidR="0027339B" w:rsidRPr="0027339B" w:rsidRDefault="0027339B" w:rsidP="0027339B">
            <w:pPr>
              <w:spacing w:before="120" w:line="256" w:lineRule="auto"/>
              <w:jc w:val="both"/>
              <w:rPr>
                <w:rFonts w:ascii="KBFG Text Bold" w:eastAsia="KBFG Text Bold" w:hAnsi="KBFG Text Bold" w:cs="KB금융 본문체 Bold"/>
                <w:snapToGrid/>
                <w:kern w:val="12"/>
                <w:sz w:val="16"/>
                <w:szCs w:val="16"/>
              </w:rPr>
            </w:pPr>
            <w:r w:rsidRPr="0027339B">
              <w:rPr>
                <w:rFonts w:ascii="KBFG Text Bold" w:eastAsia="KBFG Text Bold" w:hAnsi="KBFG Text Bold" w:cs="KB금융 본문체 Bold" w:hint="eastAsia"/>
                <w:snapToGrid/>
                <w:kern w:val="12"/>
                <w:sz w:val="16"/>
                <w:szCs w:val="16"/>
              </w:rPr>
              <w:t>Strategy, Investment Themes</w:t>
            </w:r>
          </w:p>
          <w:p w14:paraId="10F49067" w14:textId="77777777" w:rsidR="0027339B" w:rsidRPr="0027339B" w:rsidRDefault="0027339B" w:rsidP="0027339B">
            <w:pPr>
              <w:spacing w:before="120" w:line="256" w:lineRule="auto"/>
              <w:jc w:val="both"/>
              <w:rPr>
                <w:rFonts w:ascii="Calibri" w:eastAsia="KBFG Text Bold" w:hAnsi="Calibri" w:cs="Calibri"/>
                <w:snapToGrid/>
                <w:kern w:val="12"/>
                <w:sz w:val="14"/>
                <w:szCs w:val="14"/>
              </w:rPr>
            </w:pPr>
            <w:r w:rsidRPr="0027339B">
              <w:rPr>
                <w:rFonts w:ascii="KBFG Text Bold" w:eastAsia="KBFG Text Bold" w:hAnsi="KBFG Text Bold" w:cs="KB금융 본문체 Bold" w:hint="eastAsia"/>
                <w:snapToGrid/>
                <w:kern w:val="12"/>
                <w:sz w:val="14"/>
                <w:szCs w:val="14"/>
              </w:rPr>
              <w:t>Thai Huu Cong - Analyst</w:t>
            </w:r>
          </w:p>
          <w:p w14:paraId="1154791E" w14:textId="77777777" w:rsidR="0027339B" w:rsidRPr="0027339B" w:rsidRDefault="0027339B" w:rsidP="0027339B">
            <w:pPr>
              <w:spacing w:line="256" w:lineRule="auto"/>
              <w:jc w:val="both"/>
              <w:rPr>
                <w:rFonts w:ascii="Calibri" w:hAnsi="Calibri" w:cs="Calibri"/>
                <w:snapToGrid/>
                <w:kern w:val="12"/>
                <w:sz w:val="14"/>
                <w:szCs w:val="14"/>
              </w:rPr>
            </w:pPr>
            <w:r w:rsidRPr="0027339B">
              <w:rPr>
                <w:rFonts w:cs="KB금융 본문체 Light" w:hint="eastAsia"/>
                <w:snapToGrid/>
                <w:kern w:val="12"/>
                <w:sz w:val="14"/>
                <w:szCs w:val="14"/>
              </w:rPr>
              <w:t>congth@kbsec.com.vn</w:t>
            </w:r>
          </w:p>
          <w:p w14:paraId="70B72220" w14:textId="77777777" w:rsidR="0027339B" w:rsidRPr="0027339B" w:rsidRDefault="0027339B" w:rsidP="0027339B">
            <w:pPr>
              <w:spacing w:before="120" w:line="256" w:lineRule="auto"/>
              <w:jc w:val="both"/>
              <w:rPr>
                <w:rFonts w:ascii="KBFG Text Bold" w:eastAsia="KBFG Text Bold" w:hAnsi="KBFG Text Bold" w:cs="KB금융 본문체 Bold"/>
                <w:snapToGrid/>
                <w:kern w:val="12"/>
                <w:sz w:val="14"/>
                <w:szCs w:val="14"/>
              </w:rPr>
            </w:pPr>
            <w:r w:rsidRPr="0027339B">
              <w:rPr>
                <w:rFonts w:ascii="KBFG Text Bold" w:eastAsia="KBFG Text Bold" w:hAnsi="KBFG Text Bold" w:cs="KB금융 본문체 Bold" w:hint="eastAsia"/>
                <w:snapToGrid/>
                <w:kern w:val="12"/>
                <w:sz w:val="14"/>
                <w:szCs w:val="14"/>
              </w:rPr>
              <w:t>Nghiem Sy Tien - Analyst</w:t>
            </w:r>
          </w:p>
          <w:p w14:paraId="3CA5289A" w14:textId="77777777" w:rsidR="0027339B" w:rsidRPr="0027339B" w:rsidRDefault="0027339B" w:rsidP="0027339B">
            <w:pPr>
              <w:spacing w:line="256" w:lineRule="auto"/>
              <w:jc w:val="both"/>
              <w:rPr>
                <w:rFonts w:cs="KB금융 본문체 Light"/>
                <w:snapToGrid/>
                <w:kern w:val="12"/>
                <w:sz w:val="14"/>
                <w:szCs w:val="14"/>
              </w:rPr>
            </w:pPr>
            <w:r w:rsidRPr="0027339B">
              <w:rPr>
                <w:rFonts w:cs="KB금융 본문체 Light" w:hint="eastAsia"/>
                <w:snapToGrid/>
                <w:kern w:val="12"/>
                <w:sz w:val="14"/>
                <w:szCs w:val="14"/>
              </w:rPr>
              <w:t>tienns@kbsec.com.vn</w:t>
            </w:r>
          </w:p>
          <w:p w14:paraId="271362E7" w14:textId="77777777" w:rsidR="0027339B" w:rsidRPr="0027339B" w:rsidRDefault="0027339B" w:rsidP="0027339B">
            <w:pPr>
              <w:spacing w:before="120" w:line="256" w:lineRule="auto"/>
              <w:jc w:val="both"/>
              <w:rPr>
                <w:rFonts w:ascii="KBFG Text Bold" w:eastAsia="KBFG Text Bold" w:hAnsi="KBFG Text Bold" w:cs="KB금융 본문체 Bold"/>
                <w:snapToGrid/>
                <w:kern w:val="12"/>
                <w:sz w:val="16"/>
                <w:szCs w:val="16"/>
              </w:rPr>
            </w:pPr>
          </w:p>
          <w:p w14:paraId="2DC61248" w14:textId="77777777" w:rsidR="0027339B" w:rsidRPr="0027339B" w:rsidRDefault="0027339B" w:rsidP="0027339B">
            <w:pPr>
              <w:spacing w:line="256" w:lineRule="auto"/>
              <w:jc w:val="both"/>
              <w:rPr>
                <w:rFonts w:ascii="KBFG Text Bold" w:eastAsia="KBFG Text Bold" w:hAnsi="KBFG Text Bold" w:cs="KB금융 본문체 Bold"/>
                <w:snapToGrid/>
                <w:kern w:val="12"/>
                <w:sz w:val="16"/>
                <w:szCs w:val="16"/>
              </w:rPr>
            </w:pPr>
          </w:p>
          <w:p w14:paraId="22B8303F" w14:textId="77777777" w:rsidR="0027339B" w:rsidRPr="0027339B" w:rsidRDefault="0027339B" w:rsidP="0027339B">
            <w:pPr>
              <w:spacing w:line="256" w:lineRule="auto"/>
              <w:jc w:val="both"/>
              <w:rPr>
                <w:rFonts w:ascii="KBFG Text Bold" w:eastAsia="KBFG Text Bold" w:hAnsi="KBFG Text Bold" w:cs="KB금융 본문체 Bold"/>
                <w:snapToGrid/>
                <w:kern w:val="12"/>
                <w:sz w:val="16"/>
                <w:szCs w:val="16"/>
              </w:rPr>
            </w:pPr>
          </w:p>
          <w:p w14:paraId="0F1F9D6F" w14:textId="77777777" w:rsidR="0027339B" w:rsidRPr="0027339B" w:rsidRDefault="0027339B" w:rsidP="0027339B">
            <w:pPr>
              <w:spacing w:before="120" w:line="256" w:lineRule="auto"/>
              <w:jc w:val="both"/>
              <w:rPr>
                <w:rFonts w:ascii="KBFG Text Bold" w:eastAsia="KBFG Text Bold" w:hAnsi="KBFG Text Bold" w:cs="KB금융 본문체 Bold"/>
                <w:snapToGrid/>
                <w:kern w:val="12"/>
                <w:sz w:val="16"/>
                <w:szCs w:val="16"/>
              </w:rPr>
            </w:pPr>
          </w:p>
          <w:p w14:paraId="4AE755CF" w14:textId="77777777" w:rsidR="0027339B" w:rsidRPr="0027339B" w:rsidRDefault="0027339B" w:rsidP="0027339B">
            <w:pPr>
              <w:spacing w:before="120" w:line="256" w:lineRule="auto"/>
              <w:jc w:val="both"/>
              <w:rPr>
                <w:rFonts w:ascii="KBFG Text Bold" w:eastAsia="KBFG Text Bold" w:hAnsi="KBFG Text Bold" w:cs="KB금융 본문체 Bold"/>
                <w:snapToGrid/>
                <w:kern w:val="12"/>
                <w:sz w:val="16"/>
                <w:szCs w:val="16"/>
              </w:rPr>
            </w:pPr>
          </w:p>
          <w:p w14:paraId="27D3BFAA" w14:textId="77777777" w:rsidR="0027339B" w:rsidRPr="0027339B" w:rsidRDefault="0027339B" w:rsidP="0027339B">
            <w:pPr>
              <w:spacing w:before="120" w:line="256" w:lineRule="auto"/>
              <w:jc w:val="both"/>
              <w:rPr>
                <w:rFonts w:ascii="KBFG Text Bold" w:eastAsia="KBFG Text Bold" w:hAnsi="KBFG Text Bold" w:cs="KB금융 본문체 Bold"/>
                <w:snapToGrid/>
                <w:kern w:val="12"/>
                <w:sz w:val="16"/>
                <w:szCs w:val="16"/>
              </w:rPr>
            </w:pPr>
          </w:p>
          <w:p w14:paraId="016CB1F5" w14:textId="77777777" w:rsidR="0027339B" w:rsidRPr="0027339B" w:rsidRDefault="0027339B" w:rsidP="0027339B">
            <w:pPr>
              <w:spacing w:before="120" w:line="256" w:lineRule="auto"/>
              <w:jc w:val="both"/>
              <w:rPr>
                <w:rFonts w:ascii="KBFG Text Bold" w:eastAsia="KBFG Text Bold" w:hAnsi="KBFG Text Bold" w:cs="KB금융 본문체 Bold"/>
                <w:snapToGrid/>
                <w:kern w:val="12"/>
                <w:sz w:val="16"/>
                <w:szCs w:val="16"/>
              </w:rPr>
            </w:pPr>
          </w:p>
          <w:p w14:paraId="41F3A546" w14:textId="77777777" w:rsidR="0027339B" w:rsidRPr="0027339B" w:rsidRDefault="0027339B" w:rsidP="0027339B">
            <w:pPr>
              <w:spacing w:before="40" w:line="256" w:lineRule="auto"/>
              <w:jc w:val="both"/>
              <w:rPr>
                <w:rFonts w:ascii="KBFG Text Bold" w:eastAsia="KBFG Text Bold" w:hAnsi="KBFG Text Bold" w:cs="KB금융 본문체 Bold"/>
                <w:snapToGrid/>
                <w:kern w:val="12"/>
                <w:sz w:val="16"/>
                <w:szCs w:val="16"/>
              </w:rPr>
            </w:pPr>
            <w:r w:rsidRPr="0027339B">
              <w:rPr>
                <w:rFonts w:ascii="KBFG Text Bold" w:eastAsia="KBFG Text Bold" w:hAnsi="KBFG Text Bold" w:cs="KB금융 본문체 Bold" w:hint="eastAsia"/>
                <w:snapToGrid/>
                <w:kern w:val="12"/>
                <w:sz w:val="16"/>
                <w:szCs w:val="16"/>
              </w:rPr>
              <w:t>Support team</w:t>
            </w:r>
          </w:p>
          <w:p w14:paraId="3B183AC9" w14:textId="77777777" w:rsidR="0027339B" w:rsidRPr="0027339B" w:rsidRDefault="0027339B" w:rsidP="0027339B">
            <w:pPr>
              <w:spacing w:before="120" w:line="256" w:lineRule="auto"/>
              <w:jc w:val="both"/>
              <w:rPr>
                <w:rFonts w:ascii="KBFG Text Bold" w:eastAsia="KBFG Text Bold" w:hAnsi="KBFG Text Bold" w:cs="KB금융 본문체 Bold"/>
                <w:snapToGrid/>
                <w:kern w:val="12"/>
                <w:sz w:val="14"/>
                <w:szCs w:val="14"/>
              </w:rPr>
            </w:pPr>
            <w:r w:rsidRPr="0027339B">
              <w:rPr>
                <w:rFonts w:ascii="KBFG Text Bold" w:eastAsia="KBFG Text Bold" w:hAnsi="KBFG Text Bold" w:cs="KB금융 본문체 Bold" w:hint="eastAsia"/>
                <w:snapToGrid/>
                <w:kern w:val="12"/>
                <w:sz w:val="14"/>
                <w:szCs w:val="14"/>
              </w:rPr>
              <w:t>Nguyen Cam Tho - Assistant</w:t>
            </w:r>
          </w:p>
          <w:p w14:paraId="2B93F37C" w14:textId="77777777" w:rsidR="0027339B" w:rsidRPr="0027339B" w:rsidRDefault="0027339B" w:rsidP="0027339B">
            <w:pPr>
              <w:spacing w:line="256" w:lineRule="auto"/>
              <w:jc w:val="both"/>
              <w:rPr>
                <w:rFonts w:cs="KB금융 본문체 Light"/>
                <w:snapToGrid/>
                <w:kern w:val="12"/>
                <w:sz w:val="14"/>
                <w:szCs w:val="14"/>
              </w:rPr>
            </w:pPr>
            <w:r w:rsidRPr="0027339B">
              <w:rPr>
                <w:rFonts w:cs="KB금융 본문체 Light" w:hint="eastAsia"/>
                <w:snapToGrid/>
                <w:kern w:val="12"/>
                <w:sz w:val="14"/>
                <w:szCs w:val="14"/>
              </w:rPr>
              <w:t>thonc@kbsec.com.vn</w:t>
            </w:r>
          </w:p>
          <w:p w14:paraId="65F093F1" w14:textId="77777777" w:rsidR="0027339B" w:rsidRPr="0027339B" w:rsidRDefault="0027339B" w:rsidP="0027339B">
            <w:pPr>
              <w:spacing w:before="120" w:line="256" w:lineRule="auto"/>
              <w:jc w:val="both"/>
              <w:rPr>
                <w:rFonts w:ascii="KBFG Text Bold" w:eastAsia="KBFG Text Bold" w:hAnsi="KBFG Text Bold" w:cs="KB금융 본문체 Bold"/>
                <w:snapToGrid/>
                <w:kern w:val="12"/>
                <w:sz w:val="14"/>
                <w:szCs w:val="14"/>
              </w:rPr>
            </w:pPr>
            <w:r w:rsidRPr="0027339B">
              <w:rPr>
                <w:rFonts w:ascii="KBFG Text Bold" w:eastAsia="KBFG Text Bold" w:hAnsi="KBFG Text Bold" w:cs="KB금융 본문체 Bold" w:hint="eastAsia"/>
                <w:snapToGrid/>
                <w:kern w:val="12"/>
                <w:sz w:val="14"/>
                <w:szCs w:val="14"/>
              </w:rPr>
              <w:t>Nguyen Thi Huong - Assistant</w:t>
            </w:r>
          </w:p>
          <w:p w14:paraId="596871B8" w14:textId="77777777" w:rsidR="0027339B" w:rsidRPr="0027339B" w:rsidRDefault="0027339B" w:rsidP="0027339B">
            <w:pPr>
              <w:spacing w:line="256" w:lineRule="auto"/>
              <w:jc w:val="both"/>
              <w:rPr>
                <w:rFonts w:cs="KB금융 본문체 Light"/>
                <w:snapToGrid/>
                <w:kern w:val="12"/>
                <w:sz w:val="14"/>
                <w:szCs w:val="14"/>
              </w:rPr>
            </w:pPr>
            <w:r w:rsidRPr="0027339B">
              <w:rPr>
                <w:rFonts w:cs="KB금융 본문체 Light" w:hint="eastAsia"/>
                <w:snapToGrid/>
                <w:kern w:val="12"/>
                <w:sz w:val="14"/>
                <w:szCs w:val="14"/>
              </w:rPr>
              <w:t>huongnt3@kbsec.com.vn</w:t>
            </w:r>
          </w:p>
          <w:p w14:paraId="16DF92A3" w14:textId="77777777" w:rsidR="0027339B" w:rsidRPr="0027339B" w:rsidRDefault="0027339B" w:rsidP="0027339B">
            <w:pPr>
              <w:spacing w:line="256" w:lineRule="auto"/>
              <w:jc w:val="both"/>
              <w:rPr>
                <w:rFonts w:ascii="KBFG Text Bold" w:eastAsia="KBFG Text Bold" w:hAnsi="KBFG Text Bold" w:cs="KB금융 본문체 Bold"/>
                <w:snapToGrid/>
                <w:kern w:val="12"/>
                <w:sz w:val="14"/>
                <w:szCs w:val="14"/>
              </w:rPr>
            </w:pPr>
          </w:p>
        </w:tc>
      </w:tr>
    </w:tbl>
    <w:p w14:paraId="6E4A07DD" w14:textId="77777777" w:rsidR="001D6DB8" w:rsidRPr="00CE5007" w:rsidRDefault="001D6DB8" w:rsidP="001D6DB8">
      <w:pPr>
        <w:pStyle w:val="VKBBackCoverBold"/>
        <w:framePr w:hSpace="0" w:wrap="auto" w:vAnchor="margin" w:yAlign="inline"/>
        <w:suppressOverlap w:val="0"/>
        <w:jc w:val="both"/>
        <w:rPr>
          <w:rFonts w:ascii="Calibri" w:hAnsi="Calibri" w:cs="Calibri"/>
          <w:sz w:val="14"/>
        </w:rPr>
      </w:pPr>
    </w:p>
    <w:p w14:paraId="291CA78B" w14:textId="77777777" w:rsidR="001D6DB8" w:rsidRDefault="001D6DB8" w:rsidP="001D6DB8">
      <w:r>
        <w:br w:type="page"/>
      </w:r>
    </w:p>
    <w:tbl>
      <w:tblPr>
        <w:tblpPr w:leftFromText="142" w:rightFromText="142" w:vertAnchor="text" w:tblpY="1"/>
        <w:tblOverlap w:val="never"/>
        <w:tblW w:w="10080" w:type="dxa"/>
        <w:tblLayout w:type="fixed"/>
        <w:tblCellMar>
          <w:left w:w="0" w:type="dxa"/>
          <w:right w:w="0" w:type="dxa"/>
        </w:tblCellMar>
        <w:tblLook w:val="04A0" w:firstRow="1" w:lastRow="0" w:firstColumn="1" w:lastColumn="0" w:noHBand="0" w:noVBand="1"/>
      </w:tblPr>
      <w:tblGrid>
        <w:gridCol w:w="10080"/>
      </w:tblGrid>
      <w:tr w:rsidR="001D6DB8" w:rsidRPr="0054516E" w14:paraId="789607BB" w14:textId="77777777" w:rsidTr="007F4061">
        <w:tc>
          <w:tcPr>
            <w:tcW w:w="10080" w:type="dxa"/>
            <w:tcBorders>
              <w:bottom w:val="single" w:sz="4" w:space="0" w:color="auto"/>
            </w:tcBorders>
            <w:shd w:val="clear" w:color="auto" w:fill="auto"/>
          </w:tcPr>
          <w:p w14:paraId="4B543585" w14:textId="77777777" w:rsidR="001D6DB8" w:rsidRPr="0054516E" w:rsidRDefault="001D6DB8" w:rsidP="007F4061">
            <w:pPr>
              <w:pStyle w:val="KBChartTableTitle"/>
            </w:pPr>
            <w:r w:rsidRPr="0054516E">
              <w:lastRenderedPageBreak/>
              <w:t>KB SECURITIES VIETNAM (KBSV)</w:t>
            </w:r>
          </w:p>
        </w:tc>
      </w:tr>
      <w:tr w:rsidR="001D6DB8" w:rsidRPr="00306A5C" w14:paraId="69DD7356" w14:textId="77777777" w:rsidTr="007F4061">
        <w:trPr>
          <w:trHeight w:val="3426"/>
        </w:trPr>
        <w:tc>
          <w:tcPr>
            <w:tcW w:w="10080" w:type="dxa"/>
            <w:tcBorders>
              <w:top w:val="single" w:sz="4" w:space="0" w:color="auto"/>
            </w:tcBorders>
            <w:shd w:val="clear" w:color="auto" w:fill="auto"/>
          </w:tcPr>
          <w:p w14:paraId="2EB377A9" w14:textId="77777777" w:rsidR="001D6DB8" w:rsidRDefault="001D6DB8" w:rsidP="007F4061">
            <w:pPr>
              <w:pStyle w:val="KBBackCoverBold"/>
              <w:framePr w:hSpace="0" w:wrap="auto" w:vAnchor="margin" w:yAlign="inline"/>
              <w:spacing w:before="0"/>
              <w:suppressOverlap w:val="0"/>
            </w:pPr>
          </w:p>
          <w:p w14:paraId="3602696F" w14:textId="77777777" w:rsidR="001D6DB8" w:rsidRPr="00762A43" w:rsidRDefault="001D6DB8" w:rsidP="007F4061">
            <w:pPr>
              <w:pStyle w:val="KBBackCoverBold"/>
              <w:framePr w:hSpace="0" w:wrap="auto" w:vAnchor="margin" w:yAlign="inline"/>
              <w:spacing w:before="0"/>
              <w:suppressOverlap w:val="0"/>
            </w:pPr>
            <w:r>
              <w:t>Head Office</w:t>
            </w:r>
            <w:r w:rsidRPr="00762A43">
              <w:t>:</w:t>
            </w:r>
          </w:p>
          <w:p w14:paraId="15939567" w14:textId="77777777" w:rsidR="00F444D5" w:rsidRDefault="00F444D5" w:rsidP="00F444D5">
            <w:pPr>
              <w:pStyle w:val="KBBackCoverLight"/>
              <w:framePr w:hSpace="0" w:wrap="auto" w:vAnchor="margin" w:yAlign="inline"/>
              <w:suppressOverlap w:val="0"/>
              <w:rPr>
                <w:snapToGrid/>
              </w:rPr>
            </w:pPr>
            <w:r>
              <w:rPr>
                <w:rFonts w:hint="eastAsia"/>
              </w:rPr>
              <w:t>Levels 16&amp;17, Tower 2, Capital Place, 29 Lieu Giai Street, Ba Dinh District, Hanoi, Vietnam</w:t>
            </w:r>
          </w:p>
          <w:p w14:paraId="59D74E3C" w14:textId="77777777" w:rsidR="001D6DB8" w:rsidRPr="00762A43" w:rsidRDefault="001D6DB8" w:rsidP="007F4061">
            <w:pPr>
              <w:pStyle w:val="KBBackCoverLight"/>
              <w:framePr w:hSpace="0" w:wrap="auto" w:vAnchor="margin" w:yAlign="inline"/>
              <w:suppressOverlap w:val="0"/>
            </w:pPr>
            <w:r w:rsidRPr="00762A43">
              <w:t>Tel: (+84) 24 7303 5333 - Fax: (+84) 24 3776 5928</w:t>
            </w:r>
          </w:p>
          <w:p w14:paraId="33E12804" w14:textId="77777777" w:rsidR="001D6DB8" w:rsidRPr="007762B6" w:rsidRDefault="001D6DB8" w:rsidP="007F4061">
            <w:pPr>
              <w:pStyle w:val="KBBackCoverBold"/>
              <w:framePr w:hSpace="0" w:wrap="auto" w:vAnchor="margin" w:yAlign="inline"/>
              <w:suppressOverlap w:val="0"/>
              <w:rPr>
                <w:snapToGrid/>
              </w:rPr>
            </w:pPr>
            <w:r>
              <w:rPr>
                <w:snapToGrid/>
              </w:rPr>
              <w:t>Hanoi Branch</w:t>
            </w:r>
            <w:r w:rsidRPr="007762B6">
              <w:rPr>
                <w:snapToGrid/>
              </w:rPr>
              <w:t>:</w:t>
            </w:r>
          </w:p>
          <w:p w14:paraId="5FC90196" w14:textId="77777777" w:rsidR="001D6DB8" w:rsidRDefault="001D6DB8" w:rsidP="007F4061">
            <w:pPr>
              <w:pStyle w:val="KBBackCoverLight"/>
              <w:framePr w:hSpace="0" w:wrap="auto" w:vAnchor="margin" w:yAlign="inline"/>
              <w:suppressOverlap w:val="0"/>
              <w:rPr>
                <w:snapToGrid/>
              </w:rPr>
            </w:pPr>
            <w:r w:rsidRPr="007762B6">
              <w:rPr>
                <w:snapToGrid/>
              </w:rPr>
              <w:t>Level 1, VP Building, 5 Dien Bien Phu, Ba Dinh District, Hanoi, Vietnam</w:t>
            </w:r>
          </w:p>
          <w:p w14:paraId="3D4EB30E" w14:textId="77777777" w:rsidR="001D6DB8" w:rsidRPr="00A818B1" w:rsidRDefault="001D6DB8" w:rsidP="007F4061">
            <w:pPr>
              <w:pStyle w:val="KBBackCoverLight"/>
              <w:framePr w:hSpace="0" w:wrap="auto" w:vAnchor="margin" w:yAlign="inline"/>
              <w:suppressOverlap w:val="0"/>
              <w:rPr>
                <w:snapToGrid/>
              </w:rPr>
            </w:pPr>
            <w:r w:rsidRPr="00D02606">
              <w:rPr>
                <w:snapToGrid/>
              </w:rPr>
              <w:t>Tel: (+84) 24 7305 3335 - Fax: (+84) 24 3822 3131</w:t>
            </w:r>
          </w:p>
          <w:p w14:paraId="0F37F894" w14:textId="77777777" w:rsidR="001D6DB8" w:rsidRPr="007762B6" w:rsidRDefault="001D6DB8" w:rsidP="007F4061">
            <w:pPr>
              <w:pStyle w:val="KBBackCoverBold"/>
              <w:framePr w:hSpace="0" w:wrap="auto" w:vAnchor="margin" w:yAlign="inline"/>
              <w:suppressOverlap w:val="0"/>
              <w:rPr>
                <w:snapToGrid/>
              </w:rPr>
            </w:pPr>
            <w:r>
              <w:rPr>
                <w:snapToGrid/>
              </w:rPr>
              <w:t>Ho Chi Minh Branch</w:t>
            </w:r>
            <w:r w:rsidRPr="007762B6">
              <w:rPr>
                <w:snapToGrid/>
              </w:rPr>
              <w:t>:</w:t>
            </w:r>
          </w:p>
          <w:p w14:paraId="71480D18" w14:textId="77777777" w:rsidR="001D6DB8" w:rsidRDefault="001D6DB8" w:rsidP="007F4061">
            <w:pPr>
              <w:pStyle w:val="KBBackCoverLight"/>
              <w:framePr w:hSpace="0" w:wrap="auto" w:vAnchor="margin" w:yAlign="inline"/>
              <w:suppressOverlap w:val="0"/>
              <w:rPr>
                <w:snapToGrid/>
              </w:rPr>
            </w:pPr>
            <w:r w:rsidRPr="007762B6">
              <w:rPr>
                <w:snapToGrid/>
              </w:rPr>
              <w:t>Level 2, TNR Tower Nguyen Cong Tru, 180-192 Nguyen Cong Tru Street, District 1, HCMC, Vietnam</w:t>
            </w:r>
          </w:p>
          <w:p w14:paraId="742B4EEC" w14:textId="77777777" w:rsidR="001D6DB8" w:rsidRPr="00A818B1" w:rsidRDefault="001D6DB8" w:rsidP="007F4061">
            <w:pPr>
              <w:pStyle w:val="KBBackCoverLight"/>
              <w:framePr w:hSpace="0" w:wrap="auto" w:vAnchor="margin" w:yAlign="inline"/>
              <w:suppressOverlap w:val="0"/>
              <w:rPr>
                <w:snapToGrid/>
              </w:rPr>
            </w:pPr>
            <w:r w:rsidRPr="007762B6">
              <w:rPr>
                <w:snapToGrid/>
              </w:rPr>
              <w:t xml:space="preserve"> Tel: (+84) 28 7303 5333 - Fax: (+84) 28 3914 1969</w:t>
            </w:r>
          </w:p>
          <w:p w14:paraId="3C7FA1A8" w14:textId="77777777" w:rsidR="001D6DB8" w:rsidRPr="007762B6" w:rsidRDefault="001D6DB8" w:rsidP="007F4061">
            <w:pPr>
              <w:pStyle w:val="KBBackCoverBold"/>
              <w:framePr w:hSpace="0" w:wrap="auto" w:vAnchor="margin" w:yAlign="inline"/>
              <w:suppressOverlap w:val="0"/>
              <w:rPr>
                <w:snapToGrid/>
              </w:rPr>
            </w:pPr>
            <w:r>
              <w:rPr>
                <w:snapToGrid/>
              </w:rPr>
              <w:t>Saigon Branch</w:t>
            </w:r>
            <w:r w:rsidRPr="007762B6">
              <w:rPr>
                <w:snapToGrid/>
              </w:rPr>
              <w:t>:</w:t>
            </w:r>
          </w:p>
          <w:p w14:paraId="07696F7E" w14:textId="77777777" w:rsidR="001D6DB8" w:rsidRDefault="001D6DB8" w:rsidP="007F4061">
            <w:pPr>
              <w:pStyle w:val="KBBackCoverLight"/>
              <w:framePr w:hSpace="0" w:wrap="auto" w:vAnchor="margin" w:yAlign="inline"/>
              <w:suppressOverlap w:val="0"/>
              <w:rPr>
                <w:snapToGrid/>
              </w:rPr>
            </w:pPr>
            <w:r w:rsidRPr="007762B6">
              <w:rPr>
                <w:snapToGrid/>
              </w:rPr>
              <w:t>Level 1, Saigon Trade Center, 37 Ton Duc Thang, Ben Nghe Ward, District 1, HCMC, Vietnam</w:t>
            </w:r>
          </w:p>
          <w:p w14:paraId="72E6F6DB" w14:textId="77777777" w:rsidR="001D6DB8" w:rsidRPr="00A818B1" w:rsidRDefault="001D6DB8" w:rsidP="007F4061">
            <w:pPr>
              <w:pStyle w:val="KBBackCoverLight"/>
              <w:framePr w:hSpace="0" w:wrap="auto" w:vAnchor="margin" w:yAlign="inline"/>
              <w:suppressOverlap w:val="0"/>
              <w:rPr>
                <w:snapToGrid/>
              </w:rPr>
            </w:pPr>
            <w:r w:rsidRPr="007762B6">
              <w:rPr>
                <w:snapToGrid/>
              </w:rPr>
              <w:t>Tel: (+84) 28 7306 3338 - Fax: (+84) 28 3910 1611</w:t>
            </w:r>
          </w:p>
          <w:p w14:paraId="219937B5" w14:textId="77777777" w:rsidR="001D6DB8" w:rsidRDefault="001D6DB8" w:rsidP="007F4061">
            <w:pPr>
              <w:pStyle w:val="KBBackCoverBold"/>
              <w:framePr w:hSpace="0" w:wrap="auto" w:vAnchor="margin" w:yAlign="inline"/>
              <w:suppressOverlap w:val="0"/>
              <w:rPr>
                <w:snapToGrid/>
              </w:rPr>
            </w:pPr>
          </w:p>
          <w:p w14:paraId="0DFACFE2" w14:textId="77777777" w:rsidR="001D6DB8" w:rsidRPr="007762B6" w:rsidRDefault="001D6DB8" w:rsidP="007F4061">
            <w:pPr>
              <w:pStyle w:val="KBBackCoverBold"/>
              <w:framePr w:hSpace="0" w:wrap="auto" w:vAnchor="margin" w:yAlign="inline"/>
              <w:suppressOverlap w:val="0"/>
              <w:rPr>
                <w:snapToGrid/>
              </w:rPr>
            </w:pPr>
            <w:r w:rsidRPr="007762B6">
              <w:rPr>
                <w:snapToGrid/>
              </w:rPr>
              <w:t>CONTACT INFORMATION</w:t>
            </w:r>
          </w:p>
          <w:p w14:paraId="6A05BC42" w14:textId="77777777" w:rsidR="001D6DB8" w:rsidRDefault="001D6DB8" w:rsidP="007F4061">
            <w:pPr>
              <w:pStyle w:val="KBBackCoverLight"/>
              <w:framePr w:hSpace="0" w:wrap="auto" w:vAnchor="margin" w:yAlign="inline"/>
              <w:suppressOverlap w:val="0"/>
              <w:rPr>
                <w:snapToGrid/>
              </w:rPr>
            </w:pPr>
            <w:r w:rsidRPr="007762B6">
              <w:rPr>
                <w:snapToGrid/>
              </w:rPr>
              <w:t>Institutional Client Center: (+84) 28 7303 5333 – Ext: 2656</w:t>
            </w:r>
          </w:p>
          <w:p w14:paraId="791421CA" w14:textId="77777777" w:rsidR="001D6DB8" w:rsidRDefault="001D6DB8" w:rsidP="007F4061">
            <w:pPr>
              <w:pStyle w:val="KBBackCoverLight"/>
              <w:framePr w:hSpace="0" w:wrap="auto" w:vAnchor="margin" w:yAlign="inline"/>
              <w:suppressOverlap w:val="0"/>
              <w:rPr>
                <w:snapToGrid/>
              </w:rPr>
            </w:pPr>
            <w:r w:rsidRPr="007762B6">
              <w:rPr>
                <w:snapToGrid/>
              </w:rPr>
              <w:t>Private Customer Care Center: (+84) 24 7303 5333 – Ext: 2276</w:t>
            </w:r>
          </w:p>
          <w:p w14:paraId="14613F37" w14:textId="77777777" w:rsidR="001D6DB8" w:rsidRDefault="001D6DB8" w:rsidP="007F4061">
            <w:pPr>
              <w:pStyle w:val="KBBackCoverLight"/>
              <w:framePr w:hSpace="0" w:wrap="auto" w:vAnchor="margin" w:yAlign="inline"/>
              <w:suppressOverlap w:val="0"/>
              <w:rPr>
                <w:snapToGrid/>
              </w:rPr>
            </w:pPr>
            <w:r w:rsidRPr="007762B6">
              <w:rPr>
                <w:snapToGrid/>
              </w:rPr>
              <w:t>Email</w:t>
            </w:r>
            <w:r w:rsidRPr="00A818B1">
              <w:t xml:space="preserve">: </w:t>
            </w:r>
            <w:hyperlink r:id="rId12" w:history="1">
              <w:r w:rsidRPr="00A818B1">
                <w:t>ccc@kbsec.com.vn</w:t>
              </w:r>
            </w:hyperlink>
          </w:p>
          <w:p w14:paraId="71C2EC21" w14:textId="77777777" w:rsidR="001D6DB8" w:rsidRPr="007762B6" w:rsidRDefault="001D6DB8" w:rsidP="007F4061">
            <w:pPr>
              <w:pStyle w:val="KBBackCoverLight"/>
              <w:framePr w:hSpace="0" w:wrap="auto" w:vAnchor="margin" w:yAlign="inline"/>
              <w:suppressOverlap w:val="0"/>
              <w:rPr>
                <w:snapToGrid/>
              </w:rPr>
            </w:pPr>
            <w:r w:rsidRPr="007762B6">
              <w:t>Website: www.kbsec.com.vn</w:t>
            </w:r>
          </w:p>
          <w:p w14:paraId="5DE9B54F" w14:textId="77777777" w:rsidR="001D6DB8" w:rsidRPr="00704F96" w:rsidRDefault="001D6DB8" w:rsidP="007F4061">
            <w:pPr>
              <w:pStyle w:val="KBBackCoverLight"/>
              <w:framePr w:hSpace="0" w:wrap="auto" w:vAnchor="margin" w:yAlign="inline"/>
              <w:suppressOverlap w:val="0"/>
            </w:pPr>
          </w:p>
        </w:tc>
      </w:tr>
    </w:tbl>
    <w:p w14:paraId="6F9E89B3" w14:textId="77777777" w:rsidR="001D6DB8" w:rsidRDefault="001D6DB8" w:rsidP="001D6DB8"/>
    <w:p w14:paraId="3015819A" w14:textId="77777777" w:rsidR="001D6DB8" w:rsidRDefault="001D6DB8" w:rsidP="001D6DB8"/>
    <w:p w14:paraId="4419C83D" w14:textId="77777777" w:rsidR="001D6DB8" w:rsidRDefault="001D6DB8" w:rsidP="001D6DB8"/>
    <w:p w14:paraId="2C239717" w14:textId="77777777" w:rsidR="001D6DB8" w:rsidRDefault="001D6DB8" w:rsidP="001D6DB8"/>
    <w:p w14:paraId="6C681968" w14:textId="77777777" w:rsidR="001D6DB8" w:rsidRDefault="001D6DB8" w:rsidP="001D6DB8"/>
    <w:p w14:paraId="70A392A1" w14:textId="77777777" w:rsidR="001D6DB8" w:rsidRDefault="001D6DB8" w:rsidP="001D6DB8"/>
    <w:p w14:paraId="4E3D2166" w14:textId="77777777" w:rsidR="001D6DB8" w:rsidRDefault="001D6DB8" w:rsidP="001D6DB8"/>
    <w:p w14:paraId="1A372A16" w14:textId="77777777" w:rsidR="001D6DB8" w:rsidRDefault="001D6DB8" w:rsidP="001D6DB8"/>
    <w:p w14:paraId="51565446" w14:textId="77777777" w:rsidR="001D6DB8" w:rsidRDefault="001D6DB8" w:rsidP="001D6DB8"/>
    <w:p w14:paraId="77EBE9CD" w14:textId="77777777" w:rsidR="001D6DB8" w:rsidRDefault="001D6DB8" w:rsidP="001D6DB8"/>
    <w:p w14:paraId="30755EA6" w14:textId="77777777" w:rsidR="001D6DB8" w:rsidRDefault="001D6DB8" w:rsidP="001D6DB8"/>
    <w:p w14:paraId="21BCE5D7" w14:textId="77777777" w:rsidR="001D6DB8" w:rsidRDefault="001D6DB8" w:rsidP="001D6DB8"/>
    <w:p w14:paraId="66CA3348" w14:textId="77777777" w:rsidR="001D6DB8" w:rsidRDefault="001D6DB8" w:rsidP="001D6DB8"/>
    <w:p w14:paraId="761E4A9D" w14:textId="77777777" w:rsidR="001D6DB8" w:rsidRDefault="001D6DB8" w:rsidP="001D6DB8"/>
    <w:p w14:paraId="032153BD" w14:textId="77777777" w:rsidR="001D6DB8" w:rsidRDefault="001D6DB8" w:rsidP="001D6DB8"/>
    <w:p w14:paraId="30961FF3" w14:textId="77777777" w:rsidR="001D6DB8" w:rsidRDefault="001D6DB8" w:rsidP="001D6DB8"/>
    <w:p w14:paraId="0A548027" w14:textId="77777777" w:rsidR="001D6DB8" w:rsidRDefault="001D6DB8" w:rsidP="001D6DB8"/>
    <w:p w14:paraId="66C51E99" w14:textId="77777777" w:rsidR="001D6DB8" w:rsidRDefault="001D6DB8" w:rsidP="001D6DB8"/>
    <w:tbl>
      <w:tblPr>
        <w:tblW w:w="10080" w:type="dxa"/>
        <w:tblBorders>
          <w:bottom w:val="single" w:sz="2" w:space="0" w:color="auto"/>
        </w:tblBorders>
        <w:tblLayout w:type="fixed"/>
        <w:tblCellMar>
          <w:left w:w="0" w:type="dxa"/>
          <w:right w:w="0" w:type="dxa"/>
        </w:tblCellMar>
        <w:tblLook w:val="04A0" w:firstRow="1" w:lastRow="0" w:firstColumn="1" w:lastColumn="0" w:noHBand="0" w:noVBand="1"/>
      </w:tblPr>
      <w:tblGrid>
        <w:gridCol w:w="4824"/>
        <w:gridCol w:w="432"/>
        <w:gridCol w:w="4824"/>
      </w:tblGrid>
      <w:tr w:rsidR="001D6DB8" w14:paraId="1AF70BC3" w14:textId="77777777" w:rsidTr="007F4061">
        <w:tc>
          <w:tcPr>
            <w:tcW w:w="4824" w:type="dxa"/>
            <w:shd w:val="clear" w:color="auto" w:fill="auto"/>
          </w:tcPr>
          <w:p w14:paraId="3333C9E5" w14:textId="77777777" w:rsidR="001D6DB8" w:rsidRPr="0058499A" w:rsidRDefault="001D6DB8" w:rsidP="007F4061">
            <w:pPr>
              <w:pStyle w:val="KBChartTableTitle"/>
              <w:rPr>
                <w:b/>
                <w:snapToGrid w:val="0"/>
              </w:rPr>
            </w:pPr>
            <w:r w:rsidRPr="0058499A">
              <w:t>Investment ratings &amp; definitions</w:t>
            </w:r>
          </w:p>
        </w:tc>
        <w:tc>
          <w:tcPr>
            <w:tcW w:w="432" w:type="dxa"/>
            <w:shd w:val="clear" w:color="auto" w:fill="auto"/>
          </w:tcPr>
          <w:p w14:paraId="64D528C3" w14:textId="77777777" w:rsidR="001D6DB8" w:rsidRPr="008F6D63" w:rsidRDefault="001D6DB8" w:rsidP="007F4061">
            <w:pPr>
              <w:pStyle w:val="KBChartTableTitle"/>
            </w:pPr>
          </w:p>
        </w:tc>
        <w:tc>
          <w:tcPr>
            <w:tcW w:w="4824" w:type="dxa"/>
            <w:shd w:val="clear" w:color="auto" w:fill="auto"/>
          </w:tcPr>
          <w:p w14:paraId="6089A11F" w14:textId="77777777" w:rsidR="001D6DB8" w:rsidRPr="008F6D63" w:rsidRDefault="001D6DB8" w:rsidP="007F4061">
            <w:pPr>
              <w:pStyle w:val="KBChartTableTitle"/>
            </w:pPr>
          </w:p>
        </w:tc>
      </w:tr>
    </w:tbl>
    <w:p w14:paraId="128B0817" w14:textId="77777777" w:rsidR="001D6DB8" w:rsidRDefault="001D6DB8" w:rsidP="001D6DB8"/>
    <w:tbl>
      <w:tblPr>
        <w:tblW w:w="10085" w:type="dxa"/>
        <w:tblCellMar>
          <w:left w:w="0" w:type="dxa"/>
          <w:right w:w="0" w:type="dxa"/>
        </w:tblCellMar>
        <w:tblLook w:val="04A0" w:firstRow="1" w:lastRow="0" w:firstColumn="1" w:lastColumn="0" w:noHBand="0" w:noVBand="1"/>
      </w:tblPr>
      <w:tblGrid>
        <w:gridCol w:w="1440"/>
        <w:gridCol w:w="1944"/>
        <w:gridCol w:w="1445"/>
        <w:gridCol w:w="432"/>
        <w:gridCol w:w="4824"/>
      </w:tblGrid>
      <w:tr w:rsidR="001D6DB8" w14:paraId="168010F6" w14:textId="77777777" w:rsidTr="007F4061">
        <w:trPr>
          <w:trHeight w:val="142"/>
        </w:trPr>
        <w:tc>
          <w:tcPr>
            <w:tcW w:w="4829" w:type="dxa"/>
            <w:gridSpan w:val="3"/>
            <w:tcBorders>
              <w:bottom w:val="single" w:sz="4" w:space="0" w:color="auto"/>
            </w:tcBorders>
          </w:tcPr>
          <w:p w14:paraId="7AC2226F" w14:textId="77777777" w:rsidR="001D6DB8" w:rsidRDefault="001D6DB8" w:rsidP="007F4061">
            <w:pPr>
              <w:pStyle w:val="KBCoverTableBoldLeft"/>
            </w:pPr>
            <w:r>
              <w:rPr>
                <w:rFonts w:hint="eastAsia"/>
              </w:rPr>
              <w:t xml:space="preserve">Investment </w:t>
            </w:r>
            <w:r>
              <w:t>R</w:t>
            </w:r>
            <w:r>
              <w:rPr>
                <w:rFonts w:hint="eastAsia"/>
              </w:rPr>
              <w:t>ating</w:t>
            </w:r>
            <w:r>
              <w:t>s</w:t>
            </w:r>
            <w:r>
              <w:rPr>
                <w:rFonts w:hint="eastAsia"/>
              </w:rPr>
              <w:t xml:space="preserve"> for </w:t>
            </w:r>
            <w:r>
              <w:t>Stocks</w:t>
            </w:r>
          </w:p>
          <w:p w14:paraId="04AFF27D" w14:textId="77777777" w:rsidR="001D6DB8" w:rsidRDefault="001D6DB8" w:rsidP="007F4061">
            <w:pPr>
              <w:pStyle w:val="KBCoverTableBoldLeft"/>
            </w:pPr>
            <w:r>
              <w:rPr>
                <w:rFonts w:hint="eastAsia"/>
              </w:rPr>
              <w:t xml:space="preserve">(based on </w:t>
            </w:r>
            <w:r>
              <w:t>expectations for absolute price gains over the next 6 months</w:t>
            </w:r>
            <w:r>
              <w:rPr>
                <w:rFonts w:hint="eastAsia"/>
              </w:rPr>
              <w:t>)</w:t>
            </w:r>
          </w:p>
        </w:tc>
        <w:tc>
          <w:tcPr>
            <w:tcW w:w="432" w:type="dxa"/>
          </w:tcPr>
          <w:p w14:paraId="6CF66A1E" w14:textId="77777777" w:rsidR="001D6DB8" w:rsidRDefault="001D6DB8" w:rsidP="007F4061"/>
        </w:tc>
        <w:tc>
          <w:tcPr>
            <w:tcW w:w="4824" w:type="dxa"/>
          </w:tcPr>
          <w:p w14:paraId="4451F064" w14:textId="77777777" w:rsidR="001D6DB8" w:rsidRDefault="001D6DB8" w:rsidP="007F4061">
            <w:pPr>
              <w:pStyle w:val="KBCoverTableLeft"/>
            </w:pPr>
          </w:p>
        </w:tc>
      </w:tr>
      <w:tr w:rsidR="001D6DB8" w14:paraId="5106E421" w14:textId="77777777" w:rsidTr="007F4061">
        <w:trPr>
          <w:trHeight w:val="142"/>
        </w:trPr>
        <w:tc>
          <w:tcPr>
            <w:tcW w:w="1440" w:type="dxa"/>
            <w:tcBorders>
              <w:top w:val="single" w:sz="4" w:space="0" w:color="auto"/>
              <w:bottom w:val="single" w:sz="4" w:space="0" w:color="auto"/>
            </w:tcBorders>
            <w:vAlign w:val="center"/>
          </w:tcPr>
          <w:p w14:paraId="4A175EAB" w14:textId="77777777" w:rsidR="001D6DB8" w:rsidRDefault="001D6DB8" w:rsidP="007F4061">
            <w:pPr>
              <w:pStyle w:val="KBCoverTableLeft"/>
            </w:pPr>
            <w:r w:rsidRPr="00600F63">
              <w:rPr>
                <w:rFonts w:hint="eastAsia"/>
              </w:rPr>
              <w:t xml:space="preserve">Buy: </w:t>
            </w:r>
          </w:p>
          <w:p w14:paraId="7D97B3E3" w14:textId="77777777" w:rsidR="001D6DB8" w:rsidRPr="00600F63" w:rsidRDefault="001D6DB8" w:rsidP="007F4061">
            <w:pPr>
              <w:pStyle w:val="KBCoverTableLeft"/>
            </w:pPr>
            <w:r w:rsidRPr="00600F63">
              <w:rPr>
                <w:rFonts w:hint="eastAsia"/>
              </w:rPr>
              <w:t xml:space="preserve">+15% or </w:t>
            </w:r>
            <w:r w:rsidRPr="00600F63">
              <w:t>more</w:t>
            </w:r>
          </w:p>
        </w:tc>
        <w:tc>
          <w:tcPr>
            <w:tcW w:w="1944" w:type="dxa"/>
            <w:tcBorders>
              <w:top w:val="single" w:sz="4" w:space="0" w:color="auto"/>
              <w:bottom w:val="single" w:sz="4" w:space="0" w:color="auto"/>
            </w:tcBorders>
            <w:vAlign w:val="center"/>
          </w:tcPr>
          <w:p w14:paraId="3FDD0FA4" w14:textId="77777777" w:rsidR="001D6DB8" w:rsidRDefault="001D6DB8" w:rsidP="007F4061">
            <w:pPr>
              <w:pStyle w:val="KBCoverTableLeft"/>
              <w:jc w:val="center"/>
            </w:pPr>
            <w:r w:rsidRPr="00600F63">
              <w:rPr>
                <w:rFonts w:hint="eastAsia"/>
              </w:rPr>
              <w:t xml:space="preserve">Hold: </w:t>
            </w:r>
          </w:p>
          <w:p w14:paraId="1EADC9F1" w14:textId="77777777" w:rsidR="001D6DB8" w:rsidRPr="00600F63" w:rsidRDefault="001D6DB8" w:rsidP="007F4061">
            <w:pPr>
              <w:pStyle w:val="KBCoverTableLeft"/>
              <w:jc w:val="center"/>
            </w:pPr>
            <w:r w:rsidRPr="00600F63">
              <w:rPr>
                <w:rFonts w:hint="eastAsia"/>
              </w:rPr>
              <w:t>+15% to -15%</w:t>
            </w:r>
          </w:p>
        </w:tc>
        <w:tc>
          <w:tcPr>
            <w:tcW w:w="1445" w:type="dxa"/>
            <w:tcBorders>
              <w:top w:val="single" w:sz="4" w:space="0" w:color="auto"/>
              <w:bottom w:val="single" w:sz="4" w:space="0" w:color="auto"/>
            </w:tcBorders>
            <w:vAlign w:val="center"/>
          </w:tcPr>
          <w:p w14:paraId="0C28E158" w14:textId="77777777" w:rsidR="001D6DB8" w:rsidRDefault="001D6DB8" w:rsidP="007F4061">
            <w:pPr>
              <w:pStyle w:val="KBCoverTableLeft"/>
              <w:jc w:val="right"/>
            </w:pPr>
            <w:r w:rsidRPr="00600F63">
              <w:rPr>
                <w:rFonts w:hint="eastAsia"/>
              </w:rPr>
              <w:t xml:space="preserve">Sell: </w:t>
            </w:r>
          </w:p>
          <w:p w14:paraId="1759A8B0" w14:textId="77777777" w:rsidR="001D6DB8" w:rsidRPr="00600F63" w:rsidRDefault="001D6DB8" w:rsidP="007F4061">
            <w:pPr>
              <w:pStyle w:val="KBCoverTableLeft"/>
              <w:jc w:val="right"/>
            </w:pPr>
            <w:r w:rsidRPr="00600F63">
              <w:rPr>
                <w:rFonts w:hint="eastAsia"/>
              </w:rPr>
              <w:t xml:space="preserve">-15% or </w:t>
            </w:r>
            <w:r w:rsidRPr="00600F63">
              <w:t>more</w:t>
            </w:r>
          </w:p>
        </w:tc>
        <w:tc>
          <w:tcPr>
            <w:tcW w:w="432" w:type="dxa"/>
          </w:tcPr>
          <w:p w14:paraId="65A938DC" w14:textId="77777777" w:rsidR="001D6DB8" w:rsidRDefault="001D6DB8" w:rsidP="007F4061"/>
        </w:tc>
        <w:tc>
          <w:tcPr>
            <w:tcW w:w="4824" w:type="dxa"/>
            <w:vMerge w:val="restart"/>
          </w:tcPr>
          <w:p w14:paraId="27F7305B" w14:textId="77777777" w:rsidR="001D6DB8" w:rsidRDefault="001D6DB8" w:rsidP="007F4061">
            <w:pPr>
              <w:pStyle w:val="KBCoverTableLeft"/>
              <w:jc w:val="both"/>
            </w:pPr>
            <w:r w:rsidRPr="00F90544">
              <w:t>Opinions in this report reflect the professional judgment of the research analyst(s) as of the date hereof and are based on information and data obtained from sources that KBSV considers reliable. KBSV makes no representation that the information and data are accurate or complete and the views presented in this report are subject to change without prior notification. Clients should independently consider their own particular circumstances and objectives and are solely responsible for their investment decisions and we shall not have liability for investments or results thereof. These materials are the copyright of KBSV and may not be reproduced, redistributed or modified without the prior written consent of KBSV. Comments and views in this report are of a general nature and intended for reference only and not authorized for use for any other purpose.</w:t>
            </w:r>
          </w:p>
        </w:tc>
      </w:tr>
      <w:tr w:rsidR="001D6DB8" w14:paraId="50FD38A2" w14:textId="77777777" w:rsidTr="007F4061">
        <w:trPr>
          <w:trHeight w:val="142"/>
        </w:trPr>
        <w:tc>
          <w:tcPr>
            <w:tcW w:w="1440" w:type="dxa"/>
            <w:tcBorders>
              <w:top w:val="single" w:sz="4" w:space="0" w:color="auto"/>
            </w:tcBorders>
          </w:tcPr>
          <w:p w14:paraId="106AB45C" w14:textId="77777777" w:rsidR="001D6DB8" w:rsidRDefault="001D6DB8" w:rsidP="007F4061"/>
        </w:tc>
        <w:tc>
          <w:tcPr>
            <w:tcW w:w="1944" w:type="dxa"/>
            <w:tcBorders>
              <w:top w:val="single" w:sz="4" w:space="0" w:color="auto"/>
            </w:tcBorders>
          </w:tcPr>
          <w:p w14:paraId="6895F640" w14:textId="77777777" w:rsidR="001D6DB8" w:rsidRDefault="001D6DB8" w:rsidP="007F4061"/>
        </w:tc>
        <w:tc>
          <w:tcPr>
            <w:tcW w:w="1445" w:type="dxa"/>
            <w:tcBorders>
              <w:top w:val="single" w:sz="4" w:space="0" w:color="auto"/>
            </w:tcBorders>
          </w:tcPr>
          <w:p w14:paraId="5C14E45E" w14:textId="77777777" w:rsidR="001D6DB8" w:rsidRDefault="001D6DB8" w:rsidP="007F4061"/>
        </w:tc>
        <w:tc>
          <w:tcPr>
            <w:tcW w:w="432" w:type="dxa"/>
          </w:tcPr>
          <w:p w14:paraId="2889D24D" w14:textId="77777777" w:rsidR="001D6DB8" w:rsidRDefault="001D6DB8" w:rsidP="007F4061"/>
        </w:tc>
        <w:tc>
          <w:tcPr>
            <w:tcW w:w="4824" w:type="dxa"/>
            <w:vMerge/>
          </w:tcPr>
          <w:p w14:paraId="4A5599E1" w14:textId="77777777" w:rsidR="001D6DB8" w:rsidRDefault="001D6DB8" w:rsidP="007F4061">
            <w:pPr>
              <w:pStyle w:val="KBCoverTableLeft"/>
            </w:pPr>
          </w:p>
        </w:tc>
      </w:tr>
      <w:tr w:rsidR="001D6DB8" w14:paraId="34EA5879" w14:textId="77777777" w:rsidTr="007F4061">
        <w:trPr>
          <w:trHeight w:val="142"/>
        </w:trPr>
        <w:tc>
          <w:tcPr>
            <w:tcW w:w="4829" w:type="dxa"/>
            <w:gridSpan w:val="3"/>
            <w:tcBorders>
              <w:bottom w:val="single" w:sz="4" w:space="0" w:color="auto"/>
            </w:tcBorders>
          </w:tcPr>
          <w:p w14:paraId="1D728E46" w14:textId="77777777" w:rsidR="001D6DB8" w:rsidRDefault="001D6DB8" w:rsidP="007F4061">
            <w:pPr>
              <w:pStyle w:val="KBCoverTableBoldLeft"/>
            </w:pPr>
            <w:r>
              <w:rPr>
                <w:rFonts w:hint="eastAsia"/>
              </w:rPr>
              <w:t>Investment Rating</w:t>
            </w:r>
            <w:r>
              <w:t>s</w:t>
            </w:r>
            <w:r>
              <w:rPr>
                <w:rFonts w:hint="eastAsia"/>
              </w:rPr>
              <w:t xml:space="preserve"> for </w:t>
            </w:r>
            <w:r>
              <w:t>Sectors</w:t>
            </w:r>
          </w:p>
          <w:p w14:paraId="4EC8CABA" w14:textId="77777777" w:rsidR="001D6DB8" w:rsidRDefault="001D6DB8" w:rsidP="007F4061">
            <w:pPr>
              <w:pStyle w:val="KBCoverTableBoldLeft"/>
            </w:pPr>
            <w:r>
              <w:rPr>
                <w:rFonts w:hint="eastAsia"/>
              </w:rPr>
              <w:t xml:space="preserve">(based on </w:t>
            </w:r>
            <w:r>
              <w:t>expectations for absolute price gains over the next 6 months</w:t>
            </w:r>
            <w:r>
              <w:rPr>
                <w:rFonts w:hint="eastAsia"/>
              </w:rPr>
              <w:t>)</w:t>
            </w:r>
          </w:p>
        </w:tc>
        <w:tc>
          <w:tcPr>
            <w:tcW w:w="432" w:type="dxa"/>
          </w:tcPr>
          <w:p w14:paraId="08161D5C" w14:textId="77777777" w:rsidR="001D6DB8" w:rsidRDefault="001D6DB8" w:rsidP="007F4061"/>
        </w:tc>
        <w:tc>
          <w:tcPr>
            <w:tcW w:w="4824" w:type="dxa"/>
            <w:vMerge/>
          </w:tcPr>
          <w:p w14:paraId="53711974" w14:textId="77777777" w:rsidR="001D6DB8" w:rsidRDefault="001D6DB8" w:rsidP="007F4061">
            <w:pPr>
              <w:pStyle w:val="KBCoverTableLeft"/>
            </w:pPr>
          </w:p>
        </w:tc>
      </w:tr>
      <w:tr w:rsidR="001D6DB8" w14:paraId="2EC830AB" w14:textId="77777777" w:rsidTr="007F4061">
        <w:trPr>
          <w:trHeight w:val="142"/>
        </w:trPr>
        <w:tc>
          <w:tcPr>
            <w:tcW w:w="1440" w:type="dxa"/>
            <w:tcBorders>
              <w:top w:val="single" w:sz="4" w:space="0" w:color="auto"/>
              <w:bottom w:val="single" w:sz="4" w:space="0" w:color="auto"/>
            </w:tcBorders>
            <w:vAlign w:val="center"/>
          </w:tcPr>
          <w:p w14:paraId="1D50F1ED" w14:textId="77777777" w:rsidR="001D6DB8" w:rsidRDefault="001D6DB8" w:rsidP="007F4061">
            <w:pPr>
              <w:pStyle w:val="KBCoverTableLeft"/>
            </w:pPr>
            <w:r>
              <w:rPr>
                <w:rFonts w:hint="eastAsia"/>
              </w:rPr>
              <w:t>Positive:</w:t>
            </w:r>
          </w:p>
          <w:p w14:paraId="455DCE04" w14:textId="77777777" w:rsidR="001D6DB8" w:rsidRDefault="001D6DB8" w:rsidP="007F4061">
            <w:pPr>
              <w:pStyle w:val="KBCoverTableLeft"/>
            </w:pPr>
            <w:r>
              <w:rPr>
                <w:rFonts w:hint="eastAsia"/>
              </w:rPr>
              <w:t xml:space="preserve">Outperform </w:t>
            </w:r>
            <w:r>
              <w:t xml:space="preserve">the </w:t>
            </w:r>
            <w:r>
              <w:rPr>
                <w:rFonts w:hint="eastAsia"/>
              </w:rPr>
              <w:t>market</w:t>
            </w:r>
          </w:p>
        </w:tc>
        <w:tc>
          <w:tcPr>
            <w:tcW w:w="1944" w:type="dxa"/>
            <w:tcBorders>
              <w:top w:val="single" w:sz="4" w:space="0" w:color="auto"/>
              <w:bottom w:val="single" w:sz="4" w:space="0" w:color="auto"/>
            </w:tcBorders>
            <w:vAlign w:val="center"/>
          </w:tcPr>
          <w:p w14:paraId="3AB53CC8" w14:textId="77777777" w:rsidR="001D6DB8" w:rsidRDefault="001D6DB8" w:rsidP="007F4061">
            <w:pPr>
              <w:pStyle w:val="KBCoverTableLeft"/>
              <w:jc w:val="center"/>
            </w:pPr>
            <w:r>
              <w:rPr>
                <w:rFonts w:hint="eastAsia"/>
              </w:rPr>
              <w:t>Neutral:</w:t>
            </w:r>
          </w:p>
          <w:p w14:paraId="55E98984" w14:textId="77777777" w:rsidR="001D6DB8" w:rsidRDefault="001D6DB8" w:rsidP="007F4061">
            <w:pPr>
              <w:pStyle w:val="KBCoverTableLeft"/>
              <w:jc w:val="center"/>
            </w:pPr>
            <w:r>
              <w:t>Perform in line with the market</w:t>
            </w:r>
          </w:p>
        </w:tc>
        <w:tc>
          <w:tcPr>
            <w:tcW w:w="1445" w:type="dxa"/>
            <w:tcBorders>
              <w:top w:val="single" w:sz="4" w:space="0" w:color="auto"/>
              <w:bottom w:val="single" w:sz="4" w:space="0" w:color="auto"/>
            </w:tcBorders>
            <w:vAlign w:val="center"/>
          </w:tcPr>
          <w:p w14:paraId="7B4D6404" w14:textId="77777777" w:rsidR="001D6DB8" w:rsidRDefault="001D6DB8" w:rsidP="007F4061">
            <w:pPr>
              <w:pStyle w:val="KBCoverTableLeft"/>
              <w:jc w:val="right"/>
            </w:pPr>
            <w:r>
              <w:rPr>
                <w:rFonts w:hint="eastAsia"/>
              </w:rPr>
              <w:t>Negative:</w:t>
            </w:r>
          </w:p>
          <w:p w14:paraId="6302F034" w14:textId="77777777" w:rsidR="001D6DB8" w:rsidRDefault="001D6DB8" w:rsidP="007F4061">
            <w:pPr>
              <w:pStyle w:val="KBCoverTableLeft"/>
              <w:jc w:val="right"/>
            </w:pPr>
            <w:r>
              <w:t>Underperform the market</w:t>
            </w:r>
          </w:p>
        </w:tc>
        <w:tc>
          <w:tcPr>
            <w:tcW w:w="432" w:type="dxa"/>
          </w:tcPr>
          <w:p w14:paraId="02C5D363" w14:textId="77777777" w:rsidR="001D6DB8" w:rsidRDefault="001D6DB8" w:rsidP="007F4061"/>
        </w:tc>
        <w:tc>
          <w:tcPr>
            <w:tcW w:w="4824" w:type="dxa"/>
            <w:vMerge/>
          </w:tcPr>
          <w:p w14:paraId="7A4B1DEE" w14:textId="77777777" w:rsidR="001D6DB8" w:rsidRDefault="001D6DB8" w:rsidP="007F4061">
            <w:pPr>
              <w:pStyle w:val="KBCoverTableLeft"/>
            </w:pPr>
          </w:p>
        </w:tc>
      </w:tr>
      <w:tr w:rsidR="001D6DB8" w14:paraId="4E1629B0" w14:textId="77777777" w:rsidTr="007F4061">
        <w:trPr>
          <w:trHeight w:val="142"/>
        </w:trPr>
        <w:tc>
          <w:tcPr>
            <w:tcW w:w="1440" w:type="dxa"/>
            <w:tcBorders>
              <w:top w:val="single" w:sz="4" w:space="0" w:color="auto"/>
            </w:tcBorders>
            <w:vAlign w:val="center"/>
          </w:tcPr>
          <w:p w14:paraId="50FFEE9B" w14:textId="77777777" w:rsidR="001D6DB8" w:rsidRPr="00F646FB" w:rsidRDefault="001D6DB8" w:rsidP="007F4061"/>
        </w:tc>
        <w:tc>
          <w:tcPr>
            <w:tcW w:w="1944" w:type="dxa"/>
            <w:tcBorders>
              <w:top w:val="single" w:sz="4" w:space="0" w:color="auto"/>
            </w:tcBorders>
            <w:vAlign w:val="center"/>
          </w:tcPr>
          <w:p w14:paraId="05718C06" w14:textId="77777777" w:rsidR="001D6DB8" w:rsidRPr="00B263D8" w:rsidRDefault="001D6DB8" w:rsidP="007F4061"/>
        </w:tc>
        <w:tc>
          <w:tcPr>
            <w:tcW w:w="1445" w:type="dxa"/>
            <w:tcBorders>
              <w:top w:val="single" w:sz="4" w:space="0" w:color="auto"/>
            </w:tcBorders>
            <w:vAlign w:val="center"/>
          </w:tcPr>
          <w:p w14:paraId="7015823E" w14:textId="77777777" w:rsidR="001D6DB8" w:rsidRPr="00F646FB" w:rsidRDefault="001D6DB8" w:rsidP="007F4061"/>
        </w:tc>
        <w:tc>
          <w:tcPr>
            <w:tcW w:w="432" w:type="dxa"/>
          </w:tcPr>
          <w:p w14:paraId="043269FB" w14:textId="77777777" w:rsidR="001D6DB8" w:rsidRDefault="001D6DB8" w:rsidP="007F4061"/>
        </w:tc>
        <w:tc>
          <w:tcPr>
            <w:tcW w:w="4824" w:type="dxa"/>
            <w:vMerge/>
          </w:tcPr>
          <w:p w14:paraId="1D187390" w14:textId="77777777" w:rsidR="001D6DB8" w:rsidRDefault="001D6DB8" w:rsidP="007F4061">
            <w:pPr>
              <w:pStyle w:val="KBCoverTableLeft"/>
            </w:pPr>
          </w:p>
        </w:tc>
      </w:tr>
    </w:tbl>
    <w:p w14:paraId="434A1EA0" w14:textId="77777777" w:rsidR="001D6DB8" w:rsidRPr="0060780B" w:rsidRDefault="001D6DB8" w:rsidP="001D6DB8"/>
    <w:sectPr w:rsidR="001D6DB8" w:rsidRPr="0060780B" w:rsidSect="00245817">
      <w:headerReference w:type="default" r:id="rId13"/>
      <w:footerReference w:type="default" r:id="rId14"/>
      <w:headerReference w:type="first" r:id="rId15"/>
      <w:footerReference w:type="first" r:id="rId16"/>
      <w:pgSz w:w="11906" w:h="16838" w:code="9"/>
      <w:pgMar w:top="1699" w:right="907" w:bottom="792" w:left="907" w:header="504" w:footer="17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81BDA" w14:textId="77777777" w:rsidR="00245817" w:rsidRDefault="00245817" w:rsidP="00670C6D">
      <w:r>
        <w:separator/>
      </w:r>
    </w:p>
  </w:endnote>
  <w:endnote w:type="continuationSeparator" w:id="0">
    <w:p w14:paraId="0D542D65" w14:textId="77777777" w:rsidR="00245817" w:rsidRDefault="00245817" w:rsidP="0067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KoPub돋움체 Light">
    <w:altName w:val="Malgun Gothic"/>
    <w:charset w:val="81"/>
    <w:family w:val="roman"/>
    <w:pitch w:val="variable"/>
    <w:sig w:usb0="800002A7" w:usb1="29D77CFB" w:usb2="00000010" w:usb3="00000000" w:csb0="00080000" w:csb1="00000000"/>
  </w:font>
  <w:font w:name="NanumGothic">
    <w:charset w:val="81"/>
    <w:family w:val="auto"/>
    <w:pitch w:val="variable"/>
    <w:sig w:usb0="80000003" w:usb1="09D7FCEB" w:usb2="00000010"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KB금융 본문체 Light">
    <w:altName w:val="Malgun Gothic"/>
    <w:charset w:val="81"/>
    <w:family w:val="modern"/>
    <w:pitch w:val="variable"/>
    <w:sig w:usb0="00000000" w:usb1="29D7FCFB" w:usb2="00000010" w:usb3="00000000" w:csb0="00080001" w:csb1="00000000"/>
  </w:font>
  <w:font w:name="Malgun Gothic">
    <w:altName w:val="맑은 고딕"/>
    <w:panose1 w:val="020B0503020000020004"/>
    <w:charset w:val="81"/>
    <w:family w:val="swiss"/>
    <w:pitch w:val="variable"/>
    <w:sig w:usb0="9000002F" w:usb1="29D77CFB" w:usb2="00000012" w:usb3="00000000" w:csb0="00080001" w:csb1="00000000"/>
  </w:font>
  <w:font w:name="KBFG Text Light">
    <w:altName w:val="Malgun Gothic"/>
    <w:panose1 w:val="020B0303000000000000"/>
    <w:charset w:val="81"/>
    <w:family w:val="swiss"/>
    <w:pitch w:val="variable"/>
    <w:sig w:usb0="800002A7" w:usb1="29D7FCFB" w:usb2="00000010" w:usb3="00000000" w:csb0="00080001" w:csb1="00000000"/>
  </w:font>
  <w:font w:name="KBFG Display Bold">
    <w:panose1 w:val="020B0803000000000000"/>
    <w:charset w:val="81"/>
    <w:family w:val="swiss"/>
    <w:pitch w:val="variable"/>
    <w:sig w:usb0="800002A7" w:usb1="29D7FCFB" w:usb2="00000010" w:usb3="00000000" w:csb0="00080001" w:csb1="00000000"/>
  </w:font>
  <w:font w:name="KBFG Text Bold">
    <w:panose1 w:val="020B0803000000000000"/>
    <w:charset w:val="81"/>
    <w:family w:val="swiss"/>
    <w:pitch w:val="variable"/>
    <w:sig w:usb0="800002A7" w:usb1="29D7FCFB" w:usb2="00000010" w:usb3="00000000" w:csb0="00080001" w:csb1="00000000"/>
  </w:font>
  <w:font w:name="KBFGText-Bold">
    <w:altName w:val="Malgun Gothic"/>
    <w:panose1 w:val="00000000000000000000"/>
    <w:charset w:val="81"/>
    <w:family w:val="auto"/>
    <w:notTrueType/>
    <w:pitch w:val="default"/>
    <w:sig w:usb0="00000000" w:usb1="09060000" w:usb2="00000010" w:usb3="00000000" w:csb0="00080001" w:csb1="00000000"/>
  </w:font>
  <w:font w:name="KB금융 본문체 Bold">
    <w:altName w:val="Malgun Gothic"/>
    <w:charset w:val="81"/>
    <w:family w:val="modern"/>
    <w:pitch w:val="variable"/>
    <w:sig w:usb0="00000000" w:usb1="29D7FCFB" w:usb2="00000010" w:usb3="00000000" w:csb0="00080001" w:csb1="00000000"/>
  </w:font>
  <w:font w:name="KBFG Display Light">
    <w:panose1 w:val="020B0303000000000000"/>
    <w:charset w:val="81"/>
    <w:family w:val="swiss"/>
    <w:pitch w:val="variable"/>
    <w:sig w:usb0="800002A7" w:usb1="29D7FCFB" w:usb2="00000010"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ource Sans Pro SemiBold">
    <w:altName w:val="Source Sans Pro SemiBold"/>
    <w:panose1 w:val="020B06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76" w:type="pct"/>
      <w:tblBorders>
        <w:top w:val="single" w:sz="4" w:space="0" w:color="545045"/>
      </w:tblBorders>
      <w:tblCellMar>
        <w:left w:w="0" w:type="dxa"/>
        <w:bottom w:w="57" w:type="dxa"/>
        <w:right w:w="0" w:type="dxa"/>
      </w:tblCellMar>
      <w:tblLook w:val="04A0" w:firstRow="1" w:lastRow="0" w:firstColumn="1" w:lastColumn="0" w:noHBand="0" w:noVBand="1"/>
    </w:tblPr>
    <w:tblGrid>
      <w:gridCol w:w="5039"/>
      <w:gridCol w:w="5040"/>
    </w:tblGrid>
    <w:tr w:rsidR="003D00F2" w:rsidRPr="003C32D7" w14:paraId="084A4AC7" w14:textId="77777777" w:rsidTr="001E08BF">
      <w:tc>
        <w:tcPr>
          <w:tcW w:w="5040" w:type="dxa"/>
          <w:shd w:val="clear" w:color="auto" w:fill="auto"/>
        </w:tcPr>
        <w:p w14:paraId="68E6F438" w14:textId="77777777" w:rsidR="003D00F2" w:rsidRPr="003C32D7" w:rsidRDefault="003D00F2" w:rsidP="003D00F2">
          <w:pPr>
            <w:pStyle w:val="Footer"/>
            <w:rPr>
              <w:rFonts w:ascii="KB금융 본문체 Bold" w:eastAsia="KB금융 본문체 Bold" w:hAnsi="KB금융 본문체 Bold"/>
              <w:color w:val="545045"/>
              <w:spacing w:val="2"/>
              <w:sz w:val="12"/>
              <w:szCs w:val="12"/>
            </w:rPr>
          </w:pPr>
        </w:p>
      </w:tc>
      <w:tc>
        <w:tcPr>
          <w:tcW w:w="5040" w:type="dxa"/>
          <w:shd w:val="clear" w:color="auto" w:fill="auto"/>
        </w:tcPr>
        <w:p w14:paraId="7F33FBA8" w14:textId="77777777" w:rsidR="003D00F2" w:rsidRPr="00465096" w:rsidRDefault="003D00F2" w:rsidP="003D00F2">
          <w:pPr>
            <w:jc w:val="right"/>
            <w:rPr>
              <w:sz w:val="12"/>
              <w:szCs w:val="12"/>
            </w:rPr>
          </w:pPr>
          <w:r w:rsidRPr="00465096">
            <w:rPr>
              <w:rFonts w:hint="eastAsia"/>
              <w:sz w:val="12"/>
              <w:szCs w:val="12"/>
            </w:rPr>
            <w:t>www.kbsec.com</w:t>
          </w:r>
          <w:r w:rsidRPr="00465096">
            <w:rPr>
              <w:sz w:val="12"/>
              <w:szCs w:val="12"/>
            </w:rPr>
            <w:t>.vn</w:t>
          </w:r>
        </w:p>
      </w:tc>
    </w:tr>
  </w:tbl>
  <w:p w14:paraId="252379C1" w14:textId="77777777" w:rsidR="003D00F2" w:rsidRDefault="003D00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CEBC4" w14:textId="77777777" w:rsidR="009A015D" w:rsidRDefault="009A01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FEF7" w14:textId="77777777" w:rsidR="009A015D" w:rsidRPr="00AA5404" w:rsidRDefault="009A015D" w:rsidP="00AA5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7D16D" w14:textId="77777777" w:rsidR="00245817" w:rsidRDefault="00245817" w:rsidP="00670C6D">
      <w:r>
        <w:separator/>
      </w:r>
    </w:p>
  </w:footnote>
  <w:footnote w:type="continuationSeparator" w:id="0">
    <w:p w14:paraId="124B3960" w14:textId="77777777" w:rsidR="00245817" w:rsidRDefault="00245817" w:rsidP="00670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AA36" w14:textId="77777777" w:rsidR="00E90FF1" w:rsidRDefault="00E90FF1">
    <w:pPr>
      <w:pStyle w:val="Header"/>
    </w:pPr>
    <w:r>
      <w:rPr>
        <w:noProof/>
        <w:lang w:eastAsia="en-US"/>
      </w:rPr>
      <mc:AlternateContent>
        <mc:Choice Requires="wps">
          <w:drawing>
            <wp:anchor distT="0" distB="0" distL="114300" distR="114300" simplePos="0" relativeHeight="251666944" behindDoc="0" locked="0" layoutInCell="1" allowOverlap="1" wp14:anchorId="1BA9DCED" wp14:editId="5E8D3A93">
              <wp:simplePos x="0" y="0"/>
              <wp:positionH relativeFrom="column">
                <wp:posOffset>-548640</wp:posOffset>
              </wp:positionH>
              <wp:positionV relativeFrom="paragraph">
                <wp:posOffset>621665</wp:posOffset>
              </wp:positionV>
              <wp:extent cx="1033272" cy="2093976"/>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1033272" cy="2093976"/>
                      </a:xfrm>
                      <a:prstGeom prst="rect">
                        <a:avLst/>
                      </a:prstGeom>
                      <a:solidFill>
                        <a:srgbClr val="FFC0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172510" w14:textId="77777777" w:rsidR="00E90FF1" w:rsidRPr="00644872" w:rsidRDefault="00E90FF1" w:rsidP="00644872">
                          <w:pPr>
                            <w:jc w:val="center"/>
                            <w:rPr>
                              <w:rFonts w:ascii="KBFG Text Bold" w:eastAsia="KBFG Text Bold" w:hAnsi="KBFG Text Bold"/>
                              <w:spacing w:val="82"/>
                            </w:rPr>
                          </w:pPr>
                          <w:r w:rsidRPr="00644872">
                            <w:rPr>
                              <w:rFonts w:ascii="KBFG Text Bold" w:eastAsia="KBFG Text Bold" w:hAnsi="KBFG Text Bold"/>
                              <w:spacing w:val="82"/>
                            </w:rPr>
                            <w:t>FIRST TO MARKET</w:t>
                          </w:r>
                        </w:p>
                      </w:txbxContent>
                    </wps:txbx>
                    <wps:bodyPr rot="0" spcFirstLastPara="0" vertOverflow="overflow" horzOverflow="overflow" vert="eaVert" wrap="square" lIns="91440" tIns="137160" rIns="9144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A9DCED" id="_x0000_t202" coordsize="21600,21600" o:spt="202" path="m,l,21600r21600,l21600,xe">
              <v:stroke joinstyle="miter"/>
              <v:path gradientshapeok="t" o:connecttype="rect"/>
            </v:shapetype>
            <v:shape id="Text Box 2" o:spid="_x0000_s1026" type="#_x0000_t202" style="position:absolute;margin-left:-43.2pt;margin-top:48.95pt;width:81.35pt;height:164.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PPggIAAGsFAAAOAAAAZHJzL2Uyb0RvYy54bWysVF9v2yAQf5+074B4X+0kXbpYdaosVaZJ&#10;VVst3fpMMCRomGNAYqeffgd2krbbS6e9wMHd/e7/XV61tSY74bwCU9LBWU6JMBwqZdYl/f6w+PCJ&#10;Eh+YqZgGI0q6F55eTd+/u2xsIYawAV0JRxDE+KKxJd2EYIss83wjaubPwAqDTAmuZgGfbp1VjjWI&#10;XutsmOfjrAFXWQdceI+/1x2TThO+lIKHOym9CESXFH0L6XTpXMUzm16yYu2Y3Sjeu8H+wYuaKYNG&#10;j1DXLDCydeoPqFpxBx5kOONQZyCl4iLFgNEM8lfRLDfMihQLJsfbY5r8/4Plt7ulvXcktJ+hxQLG&#10;hDTWFx4/YzytdHW80VOCfEzh/pg20QbCo1I+Gg0vhpRw5A3zyWhyMY442UndOh++CKhJJErqsC4p&#10;XWx340MnehCJ1jxoVS2U1unh1qu5dmTHsIaLxTzPU9kQ/YWYNqQp6Xj0MU/IBqJ+B61NxBGpHXp7&#10;pxgTFfZaRBltvglJVJVCTcZjI4qjeca5MCFlCe0n6Sgl0dRbFHv5k1dvUe7iQI1kGUw4KtfKgEvR&#10;p/k5uV39PLgsO3kszrO4IxnaVdvXfgXVHlvCQTct3vKFwrLdMB/umcPxwC7AkQ93eEgNmHXoKUo2&#10;4J7+9h/lSyrYD7wpaXDgSup/bZkTlOivBjt6Mjg/jxOaHoPRxWCML/ectXrBMtt6DtgRA1wwlicy&#10;KgR9IKWD+hG3wyxaRhYzHL0rKdrvyHnoFgFuFy5msySEU2lZuDFLyyN0THFszIf2kTnbd2/Axr+F&#10;w3Cy4lUTd7JR08BsG0Cq1OExyV1m++TjRKcZ6bdPXBnP30nqtCOnvwEAAP//AwBQSwMEFAAGAAgA&#10;AAAhAMyZH1LgAAAACQEAAA8AAABkcnMvZG93bnJldi54bWxMj8tOwzAQRfdI/IM1SOxap03lPMik&#10;qhAsKkElAh/gxtMkamxHsZOGv8esYDm6R/eeKfaL7tlMo+usQdisI2Bkaqs60yB8fb6uUmDOS6Nk&#10;bw0hfJODfXl/V8hc2Zv5oLnyDQslxuUSofV+yDl3dUtaurUdyITsYkctfTjHhqtR3kK57vk2igTX&#10;sjNhoZUDPbdUX6tJI7zLOOumo6iazTyJl1P8dhDHFPHxYTk8AfO0+D8YfvWDOpTB6WwnoxzrEVap&#10;2AUUIUsyYAFIRAzsjLDbJgnwsuD/Pyh/AAAA//8DAFBLAQItABQABgAIAAAAIQC2gziS/gAAAOEB&#10;AAATAAAAAAAAAAAAAAAAAAAAAABbQ29udGVudF9UeXBlc10ueG1sUEsBAi0AFAAGAAgAAAAhADj9&#10;If/WAAAAlAEAAAsAAAAAAAAAAAAAAAAALwEAAF9yZWxzLy5yZWxzUEsBAi0AFAAGAAgAAAAhAMX7&#10;o8+CAgAAawUAAA4AAAAAAAAAAAAAAAAALgIAAGRycy9lMm9Eb2MueG1sUEsBAi0AFAAGAAgAAAAh&#10;AMyZH1LgAAAACQEAAA8AAAAAAAAAAAAAAAAA3AQAAGRycy9kb3ducmV2LnhtbFBLBQYAAAAABAAE&#10;APMAAADpBQAAAAA=&#10;" fillcolor="#ffc000" stroked="f" strokeweight=".5pt">
              <v:textbox style="layout-flow:vertical-ideographic" inset=",10.8pt,,10.8pt">
                <w:txbxContent>
                  <w:p w14:paraId="05172510" w14:textId="77777777" w:rsidR="00E90FF1" w:rsidRPr="00644872" w:rsidRDefault="00E90FF1" w:rsidP="00644872">
                    <w:pPr>
                      <w:jc w:val="center"/>
                      <w:rPr>
                        <w:rFonts w:ascii="KBFG Text Bold" w:eastAsia="KBFG Text Bold" w:hAnsi="KBFG Text Bold"/>
                        <w:spacing w:val="82"/>
                      </w:rPr>
                    </w:pPr>
                    <w:r w:rsidRPr="00644872">
                      <w:rPr>
                        <w:rFonts w:ascii="KBFG Text Bold" w:eastAsia="KBFG Text Bold" w:hAnsi="KBFG Text Bold"/>
                        <w:spacing w:val="82"/>
                      </w:rPr>
                      <w:t>FIRST TO MARKET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8038" w14:textId="77777777" w:rsidR="003D00F2" w:rsidRDefault="00A004D3">
    <w:pPr>
      <w:pStyle w:val="Header"/>
    </w:pPr>
    <w:r>
      <w:rPr>
        <w:noProof/>
        <w:lang w:eastAsia="en-US"/>
      </w:rPr>
      <mc:AlternateContent>
        <mc:Choice Requires="wps">
          <w:drawing>
            <wp:anchor distT="0" distB="0" distL="114300" distR="114300" simplePos="0" relativeHeight="251664896" behindDoc="0" locked="0" layoutInCell="1" allowOverlap="1" wp14:anchorId="6B0D085E" wp14:editId="6E06FEB9">
              <wp:simplePos x="0" y="0"/>
              <wp:positionH relativeFrom="column">
                <wp:posOffset>-548640</wp:posOffset>
              </wp:positionH>
              <wp:positionV relativeFrom="paragraph">
                <wp:posOffset>621665</wp:posOffset>
              </wp:positionV>
              <wp:extent cx="1033272" cy="2093976"/>
              <wp:effectExtent l="0" t="0" r="0" b="1905"/>
              <wp:wrapNone/>
              <wp:docPr id="45" name="Text Box 45"/>
              <wp:cNvGraphicFramePr/>
              <a:graphic xmlns:a="http://schemas.openxmlformats.org/drawingml/2006/main">
                <a:graphicData uri="http://schemas.microsoft.com/office/word/2010/wordprocessingShape">
                  <wps:wsp>
                    <wps:cNvSpPr txBox="1"/>
                    <wps:spPr>
                      <a:xfrm>
                        <a:off x="0" y="0"/>
                        <a:ext cx="1033272" cy="2093976"/>
                      </a:xfrm>
                      <a:prstGeom prst="rect">
                        <a:avLst/>
                      </a:prstGeom>
                      <a:solidFill>
                        <a:srgbClr val="FFC0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B5744F" w14:textId="77777777" w:rsidR="00A004D3" w:rsidRPr="00E472AE" w:rsidRDefault="00A004D3" w:rsidP="00A004D3">
                          <w:pPr>
                            <w:jc w:val="distribute"/>
                            <w:rPr>
                              <w:rFonts w:ascii="KBFG Text Bold" w:eastAsia="KBFG Text Bold" w:hAnsi="KBFG Text Bold"/>
                            </w:rPr>
                          </w:pPr>
                          <w:r w:rsidRPr="00E472AE">
                            <w:rPr>
                              <w:rFonts w:ascii="KBFG Text Bold" w:eastAsia="KBFG Text Bold" w:hAnsi="KBFG Text Bold"/>
                            </w:rPr>
                            <w:t>FIRST TO MARKET</w:t>
                          </w:r>
                        </w:p>
                      </w:txbxContent>
                    </wps:txbx>
                    <wps:bodyPr rot="0" spcFirstLastPara="0" vertOverflow="overflow" horzOverflow="overflow" vert="eaVert" wrap="square" lIns="91440" tIns="137160" rIns="9144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D085E" id="_x0000_t202" coordsize="21600,21600" o:spt="202" path="m,l,21600r21600,l21600,xe">
              <v:stroke joinstyle="miter"/>
              <v:path gradientshapeok="t" o:connecttype="rect"/>
            </v:shapetype>
            <v:shape id="Text Box 45" o:spid="_x0000_s1027" type="#_x0000_t202" style="position:absolute;margin-left:-43.2pt;margin-top:48.95pt;width:81.35pt;height:164.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7OphAIAAHIFAAAOAAAAZHJzL2Uyb0RvYy54bWysVEtvGyEQvlfqf0Dcm13bqVNbXkeuI1eV&#10;oiSq0+aMWbBRWYYC9q7z6zuw60fSXlL1AgMz8817JtdNpclOOK/AFLR3kVMiDIdSmXVBvz8uPnyi&#10;xAdmSqbBiILuhafX0/fvJrUdiz5sQJfCEQQxflzbgm5CsOMs83wjKuYvwAqDTAmuYgGfbp2VjtWI&#10;Xumsn+fDrAZXWgdceI+/Ny2TThO+lIKHeym9CEQXFH0L6XTpXMUzm07YeO2Y3SjeucH+wYuKKYNG&#10;j1A3LDCydeoPqEpxBx5kuOBQZSCl4iLFgNH08lfRLDfMihQLJsfbY5r8/4Pld7ulfXAkNJ+hwQLG&#10;hNTWjz1+xnga6ap4o6cE+ZjC/TFtogmER6V8MOhf9SnhyOvno8HoahhxspO6dT58EVCRSBTUYV1S&#10;utju1odW9CASrXnQqlwordPDrVdz7ciOYQ0Xi3mep7Ih+gsxbUhd0OHgY56QDUT9FlqbiCNSO3T2&#10;TjEmKuy1iDLafBOSqDKFmozHRhRH84xzYULKEtpP0lFKoqm3KHbyJ6/eotzGgRrJMphwVK6UAZei&#10;T/Nzcrv8eXBZtvJYnLO4IxmaVYOBn7XACso9doaDdmi85QuF1btlPjwwh1OCzYCTH+7xkBow+dBR&#10;lGzAPf/tP8oXVLAfeFNS49wV1P/aMico0V8NNvaod3kZBzU9eoOr3hBf7py1esEy22oO2Bg93DOW&#10;JzIqBH0gpYPqCZfELFpGFjMcvSso2m/JeWj3AS4ZLmazJITDaVm4NUvLI3TMdOzPx+aJOds1ccD+&#10;v4PDjLLxq15uZaOmgdk2gFSp0WOu28x2NcDBTqPSLaG4Oc7fSeq0Kqe/AQAA//8DAFBLAwQUAAYA&#10;CAAAACEAzJkfUuAAAAAJAQAADwAAAGRycy9kb3ducmV2LnhtbEyPy07DMBBF90j8gzVI7FqnTeU8&#10;yKSqECwqQSUCH+DG0yRqbEexk4a/x6xgObpH954p9ovu2Uyj66xB2KwjYGRqqzrTIHx9vq5SYM5L&#10;o2RvDSF8k4N9eX9XyFzZm/mgufINCyXG5RKh9X7IOXd1S1q6tR3IhOxiRy19OMeGq1HeQrnu+TaK&#10;BNeyM2GhlQM9t1Rfq0kjvMs466ajqJrNPImXU/x2EMcU8fFhOTwB87T4Pxh+9YM6lMHpbCejHOsR&#10;VqnYBRQhSzJgAUhEDOyMsNsmCfCy4P8/KH8AAAD//wMAUEsBAi0AFAAGAAgAAAAhALaDOJL+AAAA&#10;4QEAABMAAAAAAAAAAAAAAAAAAAAAAFtDb250ZW50X1R5cGVzXS54bWxQSwECLQAUAAYACAAAACEA&#10;OP0h/9YAAACUAQAACwAAAAAAAAAAAAAAAAAvAQAAX3JlbHMvLnJlbHNQSwECLQAUAAYACAAAACEA&#10;Mk+zqYQCAAByBQAADgAAAAAAAAAAAAAAAAAuAgAAZHJzL2Uyb0RvYy54bWxQSwECLQAUAAYACAAA&#10;ACEAzJkfUuAAAAAJAQAADwAAAAAAAAAAAAAAAADeBAAAZHJzL2Rvd25yZXYueG1sUEsFBgAAAAAE&#10;AAQA8wAAAOsFAAAAAA==&#10;" fillcolor="#ffc000" stroked="f" strokeweight=".5pt">
              <v:textbox style="layout-flow:vertical-ideographic" inset=",10.8pt,,10.8pt">
                <w:txbxContent>
                  <w:p w14:paraId="5FB5744F" w14:textId="77777777" w:rsidR="00A004D3" w:rsidRPr="00E472AE" w:rsidRDefault="00A004D3" w:rsidP="00A004D3">
                    <w:pPr>
                      <w:jc w:val="distribute"/>
                      <w:rPr>
                        <w:rFonts w:ascii="KBFG Text Bold" w:eastAsia="KBFG Text Bold" w:hAnsi="KBFG Text Bold"/>
                      </w:rPr>
                    </w:pPr>
                    <w:r w:rsidRPr="00E472AE">
                      <w:rPr>
                        <w:rFonts w:ascii="KBFG Text Bold" w:eastAsia="KBFG Text Bold" w:hAnsi="KBFG Text Bold"/>
                      </w:rPr>
                      <w:t>FIRST TO MARKET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E734" w14:textId="77777777" w:rsidR="009A015D" w:rsidRDefault="009A01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506E" w14:textId="77777777" w:rsidR="005E52B3" w:rsidRDefault="005E52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62E13"/>
    <w:multiLevelType w:val="hybridMultilevel"/>
    <w:tmpl w:val="8FA29DEE"/>
    <w:lvl w:ilvl="0" w:tplc="8264DA5E">
      <w:numFmt w:val="bullet"/>
      <w:pStyle w:val="KBFocusTextLight"/>
      <w:lvlText w:val="-"/>
      <w:lvlJc w:val="left"/>
      <w:pPr>
        <w:ind w:left="393" w:hanging="360"/>
      </w:pPr>
      <w:rPr>
        <w:rFonts w:ascii="KoPub돋움체 Light" w:eastAsia="KoPub돋움체 Light" w:hAnsi="NanumGothic" w:cs="Times New Roman" w:hint="eastAsia"/>
      </w:rPr>
    </w:lvl>
    <w:lvl w:ilvl="1" w:tplc="04090003" w:tentative="1">
      <w:start w:val="1"/>
      <w:numFmt w:val="bullet"/>
      <w:lvlText w:val=""/>
      <w:lvlJc w:val="left"/>
      <w:pPr>
        <w:ind w:left="2643" w:hanging="400"/>
      </w:pPr>
      <w:rPr>
        <w:rFonts w:ascii="Wingdings" w:hAnsi="Wingdings" w:hint="default"/>
      </w:rPr>
    </w:lvl>
    <w:lvl w:ilvl="2" w:tplc="04090005" w:tentative="1">
      <w:start w:val="1"/>
      <w:numFmt w:val="bullet"/>
      <w:lvlText w:val=""/>
      <w:lvlJc w:val="left"/>
      <w:pPr>
        <w:ind w:left="3043" w:hanging="400"/>
      </w:pPr>
      <w:rPr>
        <w:rFonts w:ascii="Wingdings" w:hAnsi="Wingdings" w:hint="default"/>
      </w:rPr>
    </w:lvl>
    <w:lvl w:ilvl="3" w:tplc="04090001" w:tentative="1">
      <w:start w:val="1"/>
      <w:numFmt w:val="bullet"/>
      <w:lvlText w:val=""/>
      <w:lvlJc w:val="left"/>
      <w:pPr>
        <w:ind w:left="3443" w:hanging="400"/>
      </w:pPr>
      <w:rPr>
        <w:rFonts w:ascii="Wingdings" w:hAnsi="Wingdings" w:hint="default"/>
      </w:rPr>
    </w:lvl>
    <w:lvl w:ilvl="4" w:tplc="04090003" w:tentative="1">
      <w:start w:val="1"/>
      <w:numFmt w:val="bullet"/>
      <w:lvlText w:val=""/>
      <w:lvlJc w:val="left"/>
      <w:pPr>
        <w:ind w:left="3843" w:hanging="400"/>
      </w:pPr>
      <w:rPr>
        <w:rFonts w:ascii="Wingdings" w:hAnsi="Wingdings" w:hint="default"/>
      </w:rPr>
    </w:lvl>
    <w:lvl w:ilvl="5" w:tplc="04090005" w:tentative="1">
      <w:start w:val="1"/>
      <w:numFmt w:val="bullet"/>
      <w:lvlText w:val=""/>
      <w:lvlJc w:val="left"/>
      <w:pPr>
        <w:ind w:left="4243" w:hanging="400"/>
      </w:pPr>
      <w:rPr>
        <w:rFonts w:ascii="Wingdings" w:hAnsi="Wingdings" w:hint="default"/>
      </w:rPr>
    </w:lvl>
    <w:lvl w:ilvl="6" w:tplc="04090001" w:tentative="1">
      <w:start w:val="1"/>
      <w:numFmt w:val="bullet"/>
      <w:lvlText w:val=""/>
      <w:lvlJc w:val="left"/>
      <w:pPr>
        <w:ind w:left="4643" w:hanging="400"/>
      </w:pPr>
      <w:rPr>
        <w:rFonts w:ascii="Wingdings" w:hAnsi="Wingdings" w:hint="default"/>
      </w:rPr>
    </w:lvl>
    <w:lvl w:ilvl="7" w:tplc="04090003" w:tentative="1">
      <w:start w:val="1"/>
      <w:numFmt w:val="bullet"/>
      <w:lvlText w:val=""/>
      <w:lvlJc w:val="left"/>
      <w:pPr>
        <w:ind w:left="5043" w:hanging="400"/>
      </w:pPr>
      <w:rPr>
        <w:rFonts w:ascii="Wingdings" w:hAnsi="Wingdings" w:hint="default"/>
      </w:rPr>
    </w:lvl>
    <w:lvl w:ilvl="8" w:tplc="04090005" w:tentative="1">
      <w:start w:val="1"/>
      <w:numFmt w:val="bullet"/>
      <w:lvlText w:val=""/>
      <w:lvlJc w:val="left"/>
      <w:pPr>
        <w:ind w:left="5443" w:hanging="400"/>
      </w:pPr>
      <w:rPr>
        <w:rFonts w:ascii="Wingdings" w:hAnsi="Wingdings" w:hint="default"/>
      </w:rPr>
    </w:lvl>
  </w:abstractNum>
  <w:abstractNum w:abstractNumId="1" w15:restartNumberingAfterBreak="0">
    <w:nsid w:val="4FDB4043"/>
    <w:multiLevelType w:val="hybridMultilevel"/>
    <w:tmpl w:val="4CDAB97C"/>
    <w:lvl w:ilvl="0" w:tplc="A9A25CB6">
      <w:start w:val="1"/>
      <w:numFmt w:val="decimalEnclosedCircle"/>
      <w:lvlText w:val="%1"/>
      <w:lvlJc w:val="left"/>
      <w:pPr>
        <w:ind w:left="760" w:hanging="360"/>
      </w:pPr>
      <w:rPr>
        <w:rFonts w:cs="Batang"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510C07AD"/>
    <w:multiLevelType w:val="hybridMultilevel"/>
    <w:tmpl w:val="39002D9C"/>
    <w:lvl w:ilvl="0" w:tplc="8FFC3CF6">
      <w:start w:val="2"/>
      <w:numFmt w:val="decimalEnclosedCircle"/>
      <w:lvlText w:val="%1"/>
      <w:lvlJc w:val="left"/>
      <w:pPr>
        <w:ind w:left="760" w:hanging="360"/>
      </w:pPr>
      <w:rPr>
        <w:rFonts w:cs="Batang"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7BB933FC"/>
    <w:multiLevelType w:val="hybridMultilevel"/>
    <w:tmpl w:val="12F23792"/>
    <w:lvl w:ilvl="0" w:tplc="679059B6">
      <w:start w:val="1"/>
      <w:numFmt w:val="decimalEnclosedCircle"/>
      <w:pStyle w:val="KBCompanyRiskFacto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7CF35817"/>
    <w:multiLevelType w:val="hybridMultilevel"/>
    <w:tmpl w:val="9D7E6F12"/>
    <w:lvl w:ilvl="0" w:tplc="043263D6">
      <w:start w:val="1"/>
      <w:numFmt w:val="bullet"/>
      <w:pStyle w:val="FTMBulletBody"/>
      <w:lvlText w:val="—"/>
      <w:lvlJc w:val="left"/>
      <w:pPr>
        <w:ind w:left="0" w:firstLine="0"/>
      </w:pPr>
      <w:rPr>
        <w:rFonts w:ascii="KB금융 본문체 Light" w:eastAsia="KB금융 본문체 Light" w:hAnsi="KB금융 본문체 Light" w:hint="eastAsia"/>
      </w:rPr>
    </w:lvl>
    <w:lvl w:ilvl="1" w:tplc="1332BBAA">
      <w:start w:val="29"/>
      <w:numFmt w:val="bullet"/>
      <w:lvlText w:val="-"/>
      <w:lvlJc w:val="left"/>
      <w:pPr>
        <w:ind w:left="2036" w:hanging="360"/>
      </w:pPr>
      <w:rPr>
        <w:rFonts w:ascii="KB금융 본문체 Light" w:eastAsia="KB금융 본문체 Light" w:hAnsi="KB금융 본문체 Light" w:cs="Times New Roman" w:hint="eastAsia"/>
      </w:rPr>
    </w:lvl>
    <w:lvl w:ilvl="2" w:tplc="04090005" w:tentative="1">
      <w:start w:val="1"/>
      <w:numFmt w:val="bullet"/>
      <w:lvlText w:val=""/>
      <w:lvlJc w:val="left"/>
      <w:pPr>
        <w:ind w:left="2476" w:hanging="400"/>
      </w:pPr>
      <w:rPr>
        <w:rFonts w:ascii="Wingdings" w:hAnsi="Wingdings" w:hint="default"/>
      </w:rPr>
    </w:lvl>
    <w:lvl w:ilvl="3" w:tplc="04090001" w:tentative="1">
      <w:start w:val="1"/>
      <w:numFmt w:val="bullet"/>
      <w:lvlText w:val=""/>
      <w:lvlJc w:val="left"/>
      <w:pPr>
        <w:ind w:left="2876" w:hanging="400"/>
      </w:pPr>
      <w:rPr>
        <w:rFonts w:ascii="Wingdings" w:hAnsi="Wingdings" w:hint="default"/>
      </w:rPr>
    </w:lvl>
    <w:lvl w:ilvl="4" w:tplc="04090003" w:tentative="1">
      <w:start w:val="1"/>
      <w:numFmt w:val="bullet"/>
      <w:lvlText w:val=""/>
      <w:lvlJc w:val="left"/>
      <w:pPr>
        <w:ind w:left="3276" w:hanging="400"/>
      </w:pPr>
      <w:rPr>
        <w:rFonts w:ascii="Wingdings" w:hAnsi="Wingdings" w:hint="default"/>
      </w:rPr>
    </w:lvl>
    <w:lvl w:ilvl="5" w:tplc="04090005" w:tentative="1">
      <w:start w:val="1"/>
      <w:numFmt w:val="bullet"/>
      <w:lvlText w:val=""/>
      <w:lvlJc w:val="left"/>
      <w:pPr>
        <w:ind w:left="3676" w:hanging="400"/>
      </w:pPr>
      <w:rPr>
        <w:rFonts w:ascii="Wingdings" w:hAnsi="Wingdings" w:hint="default"/>
      </w:rPr>
    </w:lvl>
    <w:lvl w:ilvl="6" w:tplc="04090001" w:tentative="1">
      <w:start w:val="1"/>
      <w:numFmt w:val="bullet"/>
      <w:lvlText w:val=""/>
      <w:lvlJc w:val="left"/>
      <w:pPr>
        <w:ind w:left="4076" w:hanging="400"/>
      </w:pPr>
      <w:rPr>
        <w:rFonts w:ascii="Wingdings" w:hAnsi="Wingdings" w:hint="default"/>
      </w:rPr>
    </w:lvl>
    <w:lvl w:ilvl="7" w:tplc="04090003" w:tentative="1">
      <w:start w:val="1"/>
      <w:numFmt w:val="bullet"/>
      <w:lvlText w:val=""/>
      <w:lvlJc w:val="left"/>
      <w:pPr>
        <w:ind w:left="4476" w:hanging="400"/>
      </w:pPr>
      <w:rPr>
        <w:rFonts w:ascii="Wingdings" w:hAnsi="Wingdings" w:hint="default"/>
      </w:rPr>
    </w:lvl>
    <w:lvl w:ilvl="8" w:tplc="04090005" w:tentative="1">
      <w:start w:val="1"/>
      <w:numFmt w:val="bullet"/>
      <w:lvlText w:val=""/>
      <w:lvlJc w:val="left"/>
      <w:pPr>
        <w:ind w:left="4876" w:hanging="400"/>
      </w:pPr>
      <w:rPr>
        <w:rFonts w:ascii="Wingdings" w:hAnsi="Wingdings" w:hint="default"/>
      </w:rPr>
    </w:lvl>
  </w:abstractNum>
  <w:num w:numId="1" w16cid:durableId="882256187">
    <w:abstractNumId w:val="4"/>
  </w:num>
  <w:num w:numId="2" w16cid:durableId="1886139073">
    <w:abstractNumId w:val="0"/>
  </w:num>
  <w:num w:numId="3" w16cid:durableId="565921739">
    <w:abstractNumId w:val="4"/>
  </w:num>
  <w:num w:numId="4" w16cid:durableId="1270508385">
    <w:abstractNumId w:val="0"/>
  </w:num>
  <w:num w:numId="5" w16cid:durableId="50160091">
    <w:abstractNumId w:val="3"/>
  </w:num>
  <w:num w:numId="6" w16cid:durableId="1575511141">
    <w:abstractNumId w:val="1"/>
  </w:num>
  <w:num w:numId="7" w16cid:durableId="1982490649">
    <w:abstractNumId w:val="4"/>
    <w:lvlOverride w:ilvl="0">
      <w:startOverride w:val="1"/>
    </w:lvlOverride>
  </w:num>
  <w:num w:numId="8" w16cid:durableId="234704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17"/>
    <w:rsid w:val="0001416B"/>
    <w:rsid w:val="000279FA"/>
    <w:rsid w:val="00030545"/>
    <w:rsid w:val="00034243"/>
    <w:rsid w:val="00036A6F"/>
    <w:rsid w:val="000371FB"/>
    <w:rsid w:val="00044C50"/>
    <w:rsid w:val="0004715C"/>
    <w:rsid w:val="00053441"/>
    <w:rsid w:val="00065065"/>
    <w:rsid w:val="00074C03"/>
    <w:rsid w:val="00085E8F"/>
    <w:rsid w:val="0009192E"/>
    <w:rsid w:val="00097A7B"/>
    <w:rsid w:val="000A4630"/>
    <w:rsid w:val="000D2DB8"/>
    <w:rsid w:val="000D34E6"/>
    <w:rsid w:val="000E7BF1"/>
    <w:rsid w:val="000F3763"/>
    <w:rsid w:val="00102584"/>
    <w:rsid w:val="00107A6D"/>
    <w:rsid w:val="00112B5C"/>
    <w:rsid w:val="0012130F"/>
    <w:rsid w:val="00124D7D"/>
    <w:rsid w:val="00127F67"/>
    <w:rsid w:val="00131EB4"/>
    <w:rsid w:val="00141BB6"/>
    <w:rsid w:val="00141D75"/>
    <w:rsid w:val="001459B8"/>
    <w:rsid w:val="00147D39"/>
    <w:rsid w:val="001571B7"/>
    <w:rsid w:val="00157A2B"/>
    <w:rsid w:val="001641E2"/>
    <w:rsid w:val="001836E1"/>
    <w:rsid w:val="0019175F"/>
    <w:rsid w:val="0019337D"/>
    <w:rsid w:val="001B6924"/>
    <w:rsid w:val="001B77DC"/>
    <w:rsid w:val="001C6562"/>
    <w:rsid w:val="001D4A1D"/>
    <w:rsid w:val="001D6768"/>
    <w:rsid w:val="001D6DB8"/>
    <w:rsid w:val="001E3931"/>
    <w:rsid w:val="001F2B44"/>
    <w:rsid w:val="00201D08"/>
    <w:rsid w:val="00216C60"/>
    <w:rsid w:val="002170F1"/>
    <w:rsid w:val="00222929"/>
    <w:rsid w:val="00245817"/>
    <w:rsid w:val="0024693D"/>
    <w:rsid w:val="00254651"/>
    <w:rsid w:val="00257AF2"/>
    <w:rsid w:val="00257B19"/>
    <w:rsid w:val="0027339B"/>
    <w:rsid w:val="00273C84"/>
    <w:rsid w:val="002901FD"/>
    <w:rsid w:val="002945D3"/>
    <w:rsid w:val="002B0C06"/>
    <w:rsid w:val="002B3D4C"/>
    <w:rsid w:val="002B5F7B"/>
    <w:rsid w:val="002C02FE"/>
    <w:rsid w:val="002C3698"/>
    <w:rsid w:val="002D5E97"/>
    <w:rsid w:val="002D6804"/>
    <w:rsid w:val="002E1290"/>
    <w:rsid w:val="002F08FF"/>
    <w:rsid w:val="00300CF2"/>
    <w:rsid w:val="003106F9"/>
    <w:rsid w:val="003179CD"/>
    <w:rsid w:val="00325C1E"/>
    <w:rsid w:val="003325B7"/>
    <w:rsid w:val="0034769B"/>
    <w:rsid w:val="00363641"/>
    <w:rsid w:val="00364835"/>
    <w:rsid w:val="003659F3"/>
    <w:rsid w:val="00373915"/>
    <w:rsid w:val="00374ED6"/>
    <w:rsid w:val="00393406"/>
    <w:rsid w:val="003B60E0"/>
    <w:rsid w:val="003C3942"/>
    <w:rsid w:val="003D00F2"/>
    <w:rsid w:val="003E0635"/>
    <w:rsid w:val="003E5524"/>
    <w:rsid w:val="003F1F82"/>
    <w:rsid w:val="004003BC"/>
    <w:rsid w:val="00413F92"/>
    <w:rsid w:val="00417CE7"/>
    <w:rsid w:val="00421C65"/>
    <w:rsid w:val="00423B4D"/>
    <w:rsid w:val="0043652D"/>
    <w:rsid w:val="004368F2"/>
    <w:rsid w:val="0044745A"/>
    <w:rsid w:val="004735E0"/>
    <w:rsid w:val="004812AB"/>
    <w:rsid w:val="00484608"/>
    <w:rsid w:val="004A43D9"/>
    <w:rsid w:val="004B3712"/>
    <w:rsid w:val="004B65F1"/>
    <w:rsid w:val="004B6C62"/>
    <w:rsid w:val="004E0080"/>
    <w:rsid w:val="004E2B7D"/>
    <w:rsid w:val="00505A64"/>
    <w:rsid w:val="00516999"/>
    <w:rsid w:val="00526EB5"/>
    <w:rsid w:val="005330AB"/>
    <w:rsid w:val="005337BB"/>
    <w:rsid w:val="005469CA"/>
    <w:rsid w:val="00555829"/>
    <w:rsid w:val="00557E72"/>
    <w:rsid w:val="005677C9"/>
    <w:rsid w:val="0059371E"/>
    <w:rsid w:val="005A7A52"/>
    <w:rsid w:val="005B2695"/>
    <w:rsid w:val="005C5EB9"/>
    <w:rsid w:val="005D2211"/>
    <w:rsid w:val="005D2D44"/>
    <w:rsid w:val="005D77B8"/>
    <w:rsid w:val="005E0D8E"/>
    <w:rsid w:val="005E52B3"/>
    <w:rsid w:val="00603015"/>
    <w:rsid w:val="00603C85"/>
    <w:rsid w:val="00615390"/>
    <w:rsid w:val="00637180"/>
    <w:rsid w:val="00644872"/>
    <w:rsid w:val="00651E84"/>
    <w:rsid w:val="00652BD9"/>
    <w:rsid w:val="006573D4"/>
    <w:rsid w:val="006575D7"/>
    <w:rsid w:val="00660E7C"/>
    <w:rsid w:val="00663679"/>
    <w:rsid w:val="00667F6F"/>
    <w:rsid w:val="00670C6D"/>
    <w:rsid w:val="006A3464"/>
    <w:rsid w:val="006B0D93"/>
    <w:rsid w:val="006C175D"/>
    <w:rsid w:val="006D5764"/>
    <w:rsid w:val="006E1AE1"/>
    <w:rsid w:val="006E4C24"/>
    <w:rsid w:val="006E6B7E"/>
    <w:rsid w:val="006E7DA1"/>
    <w:rsid w:val="006F3EF6"/>
    <w:rsid w:val="006F5A40"/>
    <w:rsid w:val="006F5EEA"/>
    <w:rsid w:val="006F7C2E"/>
    <w:rsid w:val="00707835"/>
    <w:rsid w:val="007101F4"/>
    <w:rsid w:val="007247AD"/>
    <w:rsid w:val="007262D8"/>
    <w:rsid w:val="00727405"/>
    <w:rsid w:val="00727B6A"/>
    <w:rsid w:val="00730D54"/>
    <w:rsid w:val="00733583"/>
    <w:rsid w:val="007429DF"/>
    <w:rsid w:val="00750023"/>
    <w:rsid w:val="0075203F"/>
    <w:rsid w:val="00766EDD"/>
    <w:rsid w:val="00767226"/>
    <w:rsid w:val="0076791D"/>
    <w:rsid w:val="007707E3"/>
    <w:rsid w:val="00772378"/>
    <w:rsid w:val="00772B66"/>
    <w:rsid w:val="00773FD0"/>
    <w:rsid w:val="00776E8F"/>
    <w:rsid w:val="00782EE1"/>
    <w:rsid w:val="00785DB2"/>
    <w:rsid w:val="007D4301"/>
    <w:rsid w:val="007E319E"/>
    <w:rsid w:val="007E7F16"/>
    <w:rsid w:val="007F061B"/>
    <w:rsid w:val="007F15F9"/>
    <w:rsid w:val="00800C11"/>
    <w:rsid w:val="008019FA"/>
    <w:rsid w:val="00802336"/>
    <w:rsid w:val="00805316"/>
    <w:rsid w:val="00806999"/>
    <w:rsid w:val="00824056"/>
    <w:rsid w:val="00825D63"/>
    <w:rsid w:val="00840DE8"/>
    <w:rsid w:val="00863ABE"/>
    <w:rsid w:val="00871BAD"/>
    <w:rsid w:val="00874714"/>
    <w:rsid w:val="00875373"/>
    <w:rsid w:val="00882BB9"/>
    <w:rsid w:val="00891885"/>
    <w:rsid w:val="008A25A9"/>
    <w:rsid w:val="008C37D4"/>
    <w:rsid w:val="008D5EE0"/>
    <w:rsid w:val="008E53DD"/>
    <w:rsid w:val="008F68F7"/>
    <w:rsid w:val="008F6D63"/>
    <w:rsid w:val="00915569"/>
    <w:rsid w:val="009276E2"/>
    <w:rsid w:val="009603A1"/>
    <w:rsid w:val="009628F8"/>
    <w:rsid w:val="00974C9B"/>
    <w:rsid w:val="00982CF6"/>
    <w:rsid w:val="00985703"/>
    <w:rsid w:val="00987357"/>
    <w:rsid w:val="00992970"/>
    <w:rsid w:val="009958D6"/>
    <w:rsid w:val="009A015D"/>
    <w:rsid w:val="009B4C43"/>
    <w:rsid w:val="009B6D0E"/>
    <w:rsid w:val="009D0B91"/>
    <w:rsid w:val="009D2FB0"/>
    <w:rsid w:val="009D3B9A"/>
    <w:rsid w:val="009D5493"/>
    <w:rsid w:val="009D58DA"/>
    <w:rsid w:val="009F1A65"/>
    <w:rsid w:val="009F72E5"/>
    <w:rsid w:val="00A004D3"/>
    <w:rsid w:val="00A14BC0"/>
    <w:rsid w:val="00A1570C"/>
    <w:rsid w:val="00A21276"/>
    <w:rsid w:val="00A2154E"/>
    <w:rsid w:val="00A47B16"/>
    <w:rsid w:val="00A53B76"/>
    <w:rsid w:val="00A839E8"/>
    <w:rsid w:val="00A92D98"/>
    <w:rsid w:val="00AA0D24"/>
    <w:rsid w:val="00AA152A"/>
    <w:rsid w:val="00AA5404"/>
    <w:rsid w:val="00AC43D5"/>
    <w:rsid w:val="00AC73E1"/>
    <w:rsid w:val="00AE4611"/>
    <w:rsid w:val="00AE7798"/>
    <w:rsid w:val="00B009F6"/>
    <w:rsid w:val="00B051E0"/>
    <w:rsid w:val="00B07C23"/>
    <w:rsid w:val="00B1650B"/>
    <w:rsid w:val="00B316D1"/>
    <w:rsid w:val="00B64513"/>
    <w:rsid w:val="00B6654C"/>
    <w:rsid w:val="00B901B1"/>
    <w:rsid w:val="00B94081"/>
    <w:rsid w:val="00BA3270"/>
    <w:rsid w:val="00BA65B6"/>
    <w:rsid w:val="00BB0EA0"/>
    <w:rsid w:val="00BC1B3A"/>
    <w:rsid w:val="00BC6349"/>
    <w:rsid w:val="00BD4CCF"/>
    <w:rsid w:val="00BD67EA"/>
    <w:rsid w:val="00BF6867"/>
    <w:rsid w:val="00C00088"/>
    <w:rsid w:val="00C05E95"/>
    <w:rsid w:val="00C11DC1"/>
    <w:rsid w:val="00C15655"/>
    <w:rsid w:val="00C34FBA"/>
    <w:rsid w:val="00C42759"/>
    <w:rsid w:val="00C5113F"/>
    <w:rsid w:val="00C52C93"/>
    <w:rsid w:val="00C62E11"/>
    <w:rsid w:val="00C640F2"/>
    <w:rsid w:val="00C676CE"/>
    <w:rsid w:val="00C731CC"/>
    <w:rsid w:val="00C73873"/>
    <w:rsid w:val="00C84A5E"/>
    <w:rsid w:val="00CC380D"/>
    <w:rsid w:val="00D1078E"/>
    <w:rsid w:val="00D144B3"/>
    <w:rsid w:val="00D26617"/>
    <w:rsid w:val="00D30AA0"/>
    <w:rsid w:val="00D35FDE"/>
    <w:rsid w:val="00D57892"/>
    <w:rsid w:val="00D80A84"/>
    <w:rsid w:val="00D81591"/>
    <w:rsid w:val="00D94988"/>
    <w:rsid w:val="00DB0C9F"/>
    <w:rsid w:val="00DF360E"/>
    <w:rsid w:val="00E002DD"/>
    <w:rsid w:val="00E05B86"/>
    <w:rsid w:val="00E156E1"/>
    <w:rsid w:val="00E16269"/>
    <w:rsid w:val="00E17293"/>
    <w:rsid w:val="00E205A2"/>
    <w:rsid w:val="00E249B3"/>
    <w:rsid w:val="00E37655"/>
    <w:rsid w:val="00E90FF1"/>
    <w:rsid w:val="00EA1A76"/>
    <w:rsid w:val="00EA312E"/>
    <w:rsid w:val="00EB5662"/>
    <w:rsid w:val="00EB6412"/>
    <w:rsid w:val="00ED4BC1"/>
    <w:rsid w:val="00EF5860"/>
    <w:rsid w:val="00F10F7D"/>
    <w:rsid w:val="00F1745B"/>
    <w:rsid w:val="00F216E3"/>
    <w:rsid w:val="00F25F7E"/>
    <w:rsid w:val="00F2646F"/>
    <w:rsid w:val="00F266AC"/>
    <w:rsid w:val="00F37E6F"/>
    <w:rsid w:val="00F444D5"/>
    <w:rsid w:val="00F53EE0"/>
    <w:rsid w:val="00F63120"/>
    <w:rsid w:val="00F66610"/>
    <w:rsid w:val="00F81BEF"/>
    <w:rsid w:val="00FA5610"/>
    <w:rsid w:val="00FA5704"/>
    <w:rsid w:val="00FA63A2"/>
    <w:rsid w:val="00FB3C20"/>
    <w:rsid w:val="00FB7302"/>
    <w:rsid w:val="00FC4DF6"/>
    <w:rsid w:val="00FD0D82"/>
    <w:rsid w:val="00FD14B6"/>
    <w:rsid w:val="00FD64DE"/>
    <w:rsid w:val="00FE6E57"/>
    <w:rsid w:val="00FF3173"/>
    <w:rsid w:val="00FF42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C476C"/>
  <w15:chartTrackingRefBased/>
  <w15:docId w15:val="{3BA54BFB-A42F-4693-B16B-6899A419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7E3"/>
    <w:pPr>
      <w:widowControl w:val="0"/>
      <w:autoSpaceDE w:val="0"/>
      <w:autoSpaceDN w:val="0"/>
      <w:adjustRightInd w:val="0"/>
      <w:snapToGrid w:val="0"/>
    </w:pPr>
    <w:rPr>
      <w:rFonts w:ascii="KBFG Text Light" w:eastAsia="KBFG Text Light" w:hAnsi="KBFG Text Light"/>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ilyTitleBold">
    <w:name w:val="#DailyTitleBold"/>
    <w:basedOn w:val="Normal"/>
    <w:qFormat/>
    <w:rsid w:val="007707E3"/>
    <w:pPr>
      <w:wordWrap w:val="0"/>
      <w:adjustRightInd/>
      <w:snapToGrid/>
      <w:jc w:val="both"/>
    </w:pPr>
    <w:rPr>
      <w:rFonts w:ascii="KBFG Display Bold" w:eastAsia="KBFG Display Bold" w:hAnsi="KBFG Display Bold"/>
      <w:snapToGrid/>
      <w:kern w:val="2"/>
      <w:sz w:val="36"/>
      <w:szCs w:val="22"/>
    </w:rPr>
  </w:style>
  <w:style w:type="paragraph" w:customStyle="1" w:styleId="FTMBulletBody">
    <w:name w:val="#FTMBulletBody"/>
    <w:basedOn w:val="Normal"/>
    <w:next w:val="Normal"/>
    <w:qFormat/>
    <w:rsid w:val="00423B4D"/>
    <w:pPr>
      <w:numPr>
        <w:numId w:val="3"/>
      </w:numPr>
      <w:ind w:left="245" w:hanging="245"/>
    </w:pPr>
  </w:style>
  <w:style w:type="paragraph" w:styleId="Header">
    <w:name w:val="header"/>
    <w:basedOn w:val="Normal"/>
    <w:link w:val="HeaderChar"/>
    <w:uiPriority w:val="99"/>
    <w:unhideWhenUsed/>
    <w:rsid w:val="0076791D"/>
    <w:pPr>
      <w:tabs>
        <w:tab w:val="center" w:pos="4513"/>
        <w:tab w:val="right" w:pos="9026"/>
      </w:tabs>
    </w:pPr>
  </w:style>
  <w:style w:type="character" w:customStyle="1" w:styleId="HeaderChar">
    <w:name w:val="Header Char"/>
    <w:link w:val="Header"/>
    <w:uiPriority w:val="99"/>
    <w:rsid w:val="0076791D"/>
    <w:rPr>
      <w:rFonts w:ascii="KB금융 본문체 Light" w:eastAsia="KB금융 본문체 Light" w:hAnsi="KB금융 본문체 Light" w:cs="Times New Roman"/>
      <w:snapToGrid w:val="0"/>
      <w:kern w:val="0"/>
      <w:sz w:val="18"/>
      <w:szCs w:val="20"/>
    </w:rPr>
  </w:style>
  <w:style w:type="paragraph" w:customStyle="1" w:styleId="FTMBulletTitle">
    <w:name w:val="#FTMBulletTitle"/>
    <w:basedOn w:val="Normal"/>
    <w:next w:val="FTMBulletBody"/>
    <w:qFormat/>
    <w:rsid w:val="007707E3"/>
    <w:rPr>
      <w:rFonts w:ascii="KBFG Text Bold" w:eastAsia="KBFG Text Bold" w:hAnsi="KBFG Text Bold"/>
    </w:rPr>
  </w:style>
  <w:style w:type="paragraph" w:customStyle="1" w:styleId="FTMCoverSubtitle">
    <w:name w:val="#FTMCoverSubtitle"/>
    <w:basedOn w:val="Normal"/>
    <w:qFormat/>
    <w:rsid w:val="007707E3"/>
    <w:pPr>
      <w:spacing w:line="310" w:lineRule="exact"/>
    </w:pPr>
    <w:rPr>
      <w:rFonts w:ascii="KBFG Text Bold" w:eastAsia="KBFG Text Bold" w:hAnsi="KBFG Text Bold"/>
      <w:sz w:val="28"/>
      <w:szCs w:val="28"/>
    </w:rPr>
  </w:style>
  <w:style w:type="paragraph" w:customStyle="1" w:styleId="FTMCoverTitle">
    <w:name w:val="#FTMCoverTitle"/>
    <w:basedOn w:val="Normal"/>
    <w:qFormat/>
    <w:rsid w:val="007707E3"/>
    <w:rPr>
      <w:rFonts w:ascii="KBFG Display Bold" w:eastAsia="KBFG Display Bold" w:hAnsi="KBFG Display Bold"/>
      <w:kern w:val="50"/>
      <w:sz w:val="50"/>
      <w:szCs w:val="44"/>
    </w:rPr>
  </w:style>
  <w:style w:type="paragraph" w:customStyle="1" w:styleId="KBChartTableTitle">
    <w:name w:val="#KBChart&amp;TableTitle"/>
    <w:basedOn w:val="Normal"/>
    <w:qFormat/>
    <w:rsid w:val="007707E3"/>
    <w:rPr>
      <w:rFonts w:ascii="KBFG Text Bold" w:eastAsia="KBFG Text Bold" w:hAnsi="KBFG Text Bold"/>
      <w:snapToGrid/>
      <w:sz w:val="16"/>
      <w:szCs w:val="18"/>
    </w:rPr>
  </w:style>
  <w:style w:type="paragraph" w:customStyle="1" w:styleId="KBCompanyBulletBody">
    <w:name w:val="#KBCompanyBulletBody"/>
    <w:basedOn w:val="Normal"/>
    <w:next w:val="Normal"/>
    <w:qFormat/>
    <w:rsid w:val="007707E3"/>
  </w:style>
  <w:style w:type="paragraph" w:customStyle="1" w:styleId="KBCompanyBulletSidebar">
    <w:name w:val="#KBCompanyBulletSidebar"/>
    <w:basedOn w:val="Normal"/>
    <w:next w:val="Normal"/>
    <w:qFormat/>
    <w:rsid w:val="007707E3"/>
    <w:rPr>
      <w:rFonts w:ascii="KBFG Text Bold" w:eastAsia="KBFG Text Bold" w:hAnsi="KBFG Text Bold"/>
    </w:rPr>
  </w:style>
  <w:style w:type="paragraph" w:customStyle="1" w:styleId="KBFocusTextLight">
    <w:name w:val="#KBFocusTextLight"/>
    <w:basedOn w:val="Normal"/>
    <w:next w:val="Normal"/>
    <w:qFormat/>
    <w:rsid w:val="00423B4D"/>
    <w:pPr>
      <w:widowControl/>
      <w:numPr>
        <w:numId w:val="4"/>
      </w:numPr>
      <w:autoSpaceDE/>
      <w:autoSpaceDN/>
      <w:adjustRightInd/>
      <w:snapToGrid/>
      <w:ind w:left="216" w:hanging="187"/>
    </w:pPr>
    <w:rPr>
      <w:rFonts w:cs="Batang"/>
      <w:snapToGrid/>
      <w:sz w:val="16"/>
      <w:szCs w:val="18"/>
    </w:rPr>
  </w:style>
  <w:style w:type="paragraph" w:customStyle="1" w:styleId="KBMainBody">
    <w:name w:val="#KBMainBody"/>
    <w:basedOn w:val="Normal"/>
    <w:next w:val="Normal"/>
    <w:qFormat/>
    <w:rsid w:val="007707E3"/>
  </w:style>
  <w:style w:type="paragraph" w:customStyle="1" w:styleId="KBMainBodyChartSidebar">
    <w:name w:val="#KBMainBodyChartSidebar"/>
    <w:basedOn w:val="Normal"/>
    <w:qFormat/>
    <w:rsid w:val="007707E3"/>
    <w:pPr>
      <w:snapToGrid/>
    </w:pPr>
    <w:rPr>
      <w:rFonts w:cs="Batang"/>
      <w:snapToGrid/>
      <w:sz w:val="14"/>
      <w:szCs w:val="14"/>
    </w:rPr>
  </w:style>
  <w:style w:type="paragraph" w:customStyle="1" w:styleId="KBMainBodySidebar">
    <w:name w:val="#KBMainBodySidebar"/>
    <w:basedOn w:val="Normal"/>
    <w:next w:val="Normal"/>
    <w:qFormat/>
    <w:rsid w:val="007707E3"/>
    <w:rPr>
      <w:rFonts w:ascii="KBFG Text Bold" w:eastAsia="KBFG Text Bold" w:hAnsi="KBFG Text Bold"/>
    </w:rPr>
  </w:style>
  <w:style w:type="paragraph" w:customStyle="1" w:styleId="KBMainBodyTitle">
    <w:name w:val="#KBMainBodyTitle"/>
    <w:basedOn w:val="Normal"/>
    <w:qFormat/>
    <w:rsid w:val="007707E3"/>
    <w:pPr>
      <w:snapToGrid/>
    </w:pPr>
    <w:rPr>
      <w:rFonts w:ascii="KBFG Text Bold" w:eastAsia="KBFG Text Bold" w:hAnsi="KBFG Text Bold" w:cs="KBFGText-Bold"/>
      <w:bCs/>
      <w:snapToGrid/>
      <w:sz w:val="26"/>
      <w:szCs w:val="26"/>
    </w:rPr>
  </w:style>
  <w:style w:type="paragraph" w:customStyle="1" w:styleId="KBSectorBulletBody">
    <w:name w:val="#KBSectorBulletBody"/>
    <w:basedOn w:val="Normal"/>
    <w:next w:val="Normal"/>
    <w:qFormat/>
    <w:rsid w:val="007707E3"/>
    <w:rPr>
      <w:snapToGrid/>
    </w:rPr>
  </w:style>
  <w:style w:type="paragraph" w:customStyle="1" w:styleId="KBSectorBulletTitle">
    <w:name w:val="#KBSectorBulletTitle"/>
    <w:basedOn w:val="Normal"/>
    <w:next w:val="KBSectorBulletBody"/>
    <w:qFormat/>
    <w:rsid w:val="007707E3"/>
    <w:rPr>
      <w:rFonts w:ascii="KBFG Text Bold" w:eastAsia="KBFG Text Bold" w:hAnsi="KBFG Text Bold"/>
      <w:snapToGrid/>
    </w:rPr>
  </w:style>
  <w:style w:type="paragraph" w:customStyle="1" w:styleId="KBAnalystBold">
    <w:name w:val="KBAnalystBold"/>
    <w:basedOn w:val="Normal"/>
    <w:qFormat/>
    <w:rsid w:val="007707E3"/>
    <w:rPr>
      <w:rFonts w:ascii="KBFG Text Bold" w:eastAsia="KBFG Text Bold" w:hAnsi="KBFG Text Bold"/>
      <w:snapToGrid/>
      <w:sz w:val="12"/>
    </w:rPr>
  </w:style>
  <w:style w:type="paragraph" w:customStyle="1" w:styleId="KBAnalystLight">
    <w:name w:val="KBAnalystLight"/>
    <w:basedOn w:val="Normal"/>
    <w:qFormat/>
    <w:rsid w:val="007707E3"/>
    <w:pPr>
      <w:spacing w:before="24"/>
    </w:pPr>
    <w:rPr>
      <w:snapToGrid/>
      <w:sz w:val="12"/>
      <w:szCs w:val="12"/>
    </w:rPr>
  </w:style>
  <w:style w:type="paragraph" w:customStyle="1" w:styleId="KBBackCoverBold">
    <w:name w:val="KBBackCoverBold"/>
    <w:basedOn w:val="Normal"/>
    <w:qFormat/>
    <w:rsid w:val="007707E3"/>
    <w:pPr>
      <w:framePr w:hSpace="142" w:wrap="around" w:vAnchor="text" w:hAnchor="text" w:y="1"/>
      <w:spacing w:before="80"/>
      <w:suppressOverlap/>
    </w:pPr>
    <w:rPr>
      <w:rFonts w:ascii="KBFG Text Bold" w:eastAsia="KBFG Text Bold" w:hAnsi="KBFG Text Bold" w:cs="KB금융 본문체 Bold"/>
      <w:kern w:val="12"/>
      <w:sz w:val="14"/>
      <w:szCs w:val="14"/>
    </w:rPr>
  </w:style>
  <w:style w:type="paragraph" w:styleId="Footer">
    <w:name w:val="footer"/>
    <w:basedOn w:val="Normal"/>
    <w:link w:val="FooterChar"/>
    <w:uiPriority w:val="99"/>
    <w:unhideWhenUsed/>
    <w:rsid w:val="00670C6D"/>
    <w:pPr>
      <w:tabs>
        <w:tab w:val="center" w:pos="4513"/>
        <w:tab w:val="right" w:pos="9026"/>
      </w:tabs>
    </w:pPr>
  </w:style>
  <w:style w:type="character" w:customStyle="1" w:styleId="FooterChar">
    <w:name w:val="Footer Char"/>
    <w:link w:val="Footer"/>
    <w:uiPriority w:val="99"/>
    <w:rsid w:val="00670C6D"/>
    <w:rPr>
      <w:rFonts w:ascii="KB금융 본문체 Light" w:eastAsia="KB금융 본문체 Light" w:hAnsi="KB금융 본문체 Light" w:cs="Times New Roman"/>
      <w:snapToGrid w:val="0"/>
      <w:kern w:val="0"/>
      <w:sz w:val="18"/>
      <w:szCs w:val="20"/>
    </w:rPr>
  </w:style>
  <w:style w:type="paragraph" w:customStyle="1" w:styleId="KBBackCoverLight">
    <w:name w:val="KBBackCoverLight"/>
    <w:basedOn w:val="Normal"/>
    <w:qFormat/>
    <w:rsid w:val="007707E3"/>
    <w:pPr>
      <w:framePr w:hSpace="142" w:wrap="around" w:vAnchor="text" w:hAnchor="text" w:y="1"/>
      <w:contextualSpacing/>
      <w:suppressOverlap/>
    </w:pPr>
    <w:rPr>
      <w:rFonts w:cs="KB금융 본문체 Light"/>
      <w:kern w:val="12"/>
      <w:sz w:val="14"/>
      <w:szCs w:val="14"/>
    </w:rPr>
  </w:style>
  <w:style w:type="paragraph" w:customStyle="1" w:styleId="KBBackCoverSubtitle">
    <w:name w:val="KBBackCoverSubtitle"/>
    <w:basedOn w:val="Normal"/>
    <w:qFormat/>
    <w:rsid w:val="007707E3"/>
    <w:pPr>
      <w:framePr w:hSpace="142" w:wrap="around" w:vAnchor="text" w:hAnchor="text" w:y="1"/>
      <w:spacing w:before="160"/>
      <w:suppressOverlap/>
    </w:pPr>
    <w:rPr>
      <w:rFonts w:ascii="KBFG Display Bold" w:eastAsia="KBFG Display Bold" w:hAnsi="KBFG Display Bold" w:cs="KB금융 본문체 Bold"/>
      <w:kern w:val="12"/>
      <w:sz w:val="14"/>
      <w:szCs w:val="14"/>
    </w:rPr>
  </w:style>
  <w:style w:type="paragraph" w:customStyle="1" w:styleId="KBCompanyName">
    <w:name w:val="KBCompanyName"/>
    <w:basedOn w:val="Normal"/>
    <w:qFormat/>
    <w:rsid w:val="007707E3"/>
    <w:pPr>
      <w:spacing w:line="550" w:lineRule="exact"/>
      <w:outlineLvl w:val="1"/>
    </w:pPr>
    <w:rPr>
      <w:rFonts w:ascii="KBFG Display Bold" w:eastAsia="KBFG Display Bold" w:hAnsi="KBFG Display Bold"/>
      <w:kern w:val="50"/>
      <w:sz w:val="50"/>
      <w:szCs w:val="44"/>
    </w:rPr>
  </w:style>
  <w:style w:type="paragraph" w:customStyle="1" w:styleId="KBCompanyRiskFactor">
    <w:name w:val="KBCompanyRiskFactor"/>
    <w:basedOn w:val="Normal"/>
    <w:qFormat/>
    <w:rsid w:val="007707E3"/>
    <w:pPr>
      <w:numPr>
        <w:numId w:val="5"/>
      </w:numPr>
      <w:snapToGrid/>
    </w:pPr>
    <w:rPr>
      <w:rFonts w:cs="Batang"/>
      <w:color w:val="000000"/>
      <w:sz w:val="14"/>
      <w:szCs w:val="14"/>
    </w:rPr>
  </w:style>
  <w:style w:type="paragraph" w:customStyle="1" w:styleId="KBCompanySubtitle">
    <w:name w:val="KBCompanySubtitle"/>
    <w:basedOn w:val="Normal"/>
    <w:qFormat/>
    <w:rsid w:val="007707E3"/>
    <w:pPr>
      <w:spacing w:line="310" w:lineRule="exact"/>
    </w:pPr>
    <w:rPr>
      <w:rFonts w:ascii="KBFG Text Bold" w:eastAsia="KBFG Text Bold" w:hAnsi="KBFG Text Bold"/>
      <w:sz w:val="28"/>
      <w:szCs w:val="26"/>
    </w:rPr>
  </w:style>
  <w:style w:type="character" w:customStyle="1" w:styleId="KBCompanyTicker">
    <w:name w:val="KBCompanyTicker"/>
    <w:qFormat/>
    <w:rsid w:val="007707E3"/>
    <w:rPr>
      <w:rFonts w:ascii="KBFG Display Light" w:eastAsia="KBFG Display Light" w:hAnsi="KBFG Display Light"/>
      <w:b w:val="0"/>
      <w:i w:val="0"/>
      <w:caps w:val="0"/>
      <w:smallCaps w:val="0"/>
      <w:strike w:val="0"/>
      <w:dstrike w:val="0"/>
      <w:snapToGrid w:val="0"/>
      <w:vanish w:val="0"/>
      <w:color w:val="auto"/>
      <w:spacing w:val="0"/>
      <w:w w:val="100"/>
      <w:kern w:val="50"/>
      <w:position w:val="0"/>
      <w:sz w:val="50"/>
      <w:u w:val="none"/>
      <w:vertAlign w:val="baseline"/>
    </w:rPr>
  </w:style>
  <w:style w:type="paragraph" w:customStyle="1" w:styleId="KBContentsBold">
    <w:name w:val="KBContentsBold"/>
    <w:basedOn w:val="Normal"/>
    <w:qFormat/>
    <w:rsid w:val="007707E3"/>
    <w:pPr>
      <w:ind w:left="259" w:hanging="216"/>
    </w:pPr>
    <w:rPr>
      <w:rFonts w:ascii="KBFG Text Bold" w:eastAsia="KBFG Text Bold" w:hAnsi="KBFG Text Bold" w:cs="Batang"/>
      <w:szCs w:val="18"/>
    </w:rPr>
  </w:style>
  <w:style w:type="paragraph" w:customStyle="1" w:styleId="KBContentsItem">
    <w:name w:val="KBContentsItem"/>
    <w:basedOn w:val="Normal"/>
    <w:qFormat/>
    <w:rsid w:val="007707E3"/>
    <w:pPr>
      <w:tabs>
        <w:tab w:val="right" w:pos="6480"/>
      </w:tabs>
      <w:ind w:left="259" w:firstLine="58"/>
    </w:pPr>
  </w:style>
  <w:style w:type="paragraph" w:customStyle="1" w:styleId="KBContentsTitle">
    <w:name w:val="KBContentsTitle"/>
    <w:basedOn w:val="Normal"/>
    <w:qFormat/>
    <w:rsid w:val="007707E3"/>
    <w:pPr>
      <w:pBdr>
        <w:bottom w:val="single" w:sz="4" w:space="1" w:color="auto"/>
      </w:pBdr>
      <w:tabs>
        <w:tab w:val="right" w:pos="6480"/>
      </w:tabs>
      <w:spacing w:after="192"/>
      <w:ind w:left="259" w:hanging="216"/>
    </w:pPr>
    <w:rPr>
      <w:rFonts w:ascii="KBFG Text Bold" w:eastAsia="KBFG Text Bold" w:hAnsi="KBFG Text Bold"/>
    </w:rPr>
  </w:style>
  <w:style w:type="paragraph" w:customStyle="1" w:styleId="KBCoverDateLeft">
    <w:name w:val="KBCoverDateLeft"/>
    <w:basedOn w:val="Normal"/>
    <w:qFormat/>
    <w:rsid w:val="007707E3"/>
    <w:rPr>
      <w:rFonts w:ascii="KBFG Text Bold" w:eastAsia="KBFG Text Bold" w:hAnsi="KBFG Text Bold"/>
      <w:snapToGrid/>
      <w:spacing w:val="2"/>
    </w:rPr>
  </w:style>
  <w:style w:type="paragraph" w:customStyle="1" w:styleId="KBCoverDateRight">
    <w:name w:val="KBCoverDateRight"/>
    <w:basedOn w:val="Normal"/>
    <w:qFormat/>
    <w:rsid w:val="007707E3"/>
    <w:pPr>
      <w:jc w:val="right"/>
    </w:pPr>
    <w:rPr>
      <w:rFonts w:ascii="KBFG Text Bold" w:eastAsia="KBFG Text Bold" w:hAnsi="KBFG Text Bold"/>
      <w:spacing w:val="2"/>
      <w:szCs w:val="18"/>
    </w:rPr>
  </w:style>
  <w:style w:type="paragraph" w:customStyle="1" w:styleId="KBCoverReportType">
    <w:name w:val="KBCoverReportType"/>
    <w:basedOn w:val="Normal"/>
    <w:qFormat/>
    <w:rsid w:val="007707E3"/>
    <w:rPr>
      <w:rFonts w:ascii="KBFG Text Bold" w:eastAsia="KBFG Text Bold" w:hAnsi="KBFG Text Bold"/>
      <w:snapToGrid/>
      <w:spacing w:val="2"/>
      <w:sz w:val="12"/>
      <w:szCs w:val="12"/>
    </w:rPr>
  </w:style>
  <w:style w:type="paragraph" w:customStyle="1" w:styleId="KBCoverTableBoldLeft">
    <w:name w:val="KBCoverTableBoldLeft"/>
    <w:basedOn w:val="Normal"/>
    <w:qFormat/>
    <w:rsid w:val="007707E3"/>
    <w:pPr>
      <w:widowControl/>
    </w:pPr>
    <w:rPr>
      <w:rFonts w:ascii="KBFG Text Bold" w:eastAsia="KBFG Text Bold" w:hAnsi="KBFG Text Bold" w:cs="Gulim"/>
      <w:bCs/>
      <w:kern w:val="12"/>
      <w:sz w:val="12"/>
      <w:szCs w:val="12"/>
    </w:rPr>
  </w:style>
  <w:style w:type="paragraph" w:customStyle="1" w:styleId="KBCoverTableBoldRight">
    <w:name w:val="KBCoverTableBoldRight"/>
    <w:basedOn w:val="Normal"/>
    <w:qFormat/>
    <w:rsid w:val="007707E3"/>
    <w:pPr>
      <w:jc w:val="right"/>
    </w:pPr>
    <w:rPr>
      <w:rFonts w:ascii="KBFG Text Bold" w:eastAsia="KBFG Text Bold" w:hAnsi="KBFG Text Bold"/>
      <w:color w:val="000000"/>
      <w:sz w:val="12"/>
    </w:rPr>
  </w:style>
  <w:style w:type="paragraph" w:customStyle="1" w:styleId="KBCoverTableLeft">
    <w:name w:val="KBCoverTableLeft"/>
    <w:basedOn w:val="Normal"/>
    <w:qFormat/>
    <w:rsid w:val="007707E3"/>
    <w:rPr>
      <w:snapToGrid/>
      <w:kern w:val="12"/>
      <w:sz w:val="12"/>
    </w:rPr>
  </w:style>
  <w:style w:type="paragraph" w:customStyle="1" w:styleId="KBCoverTableRight">
    <w:name w:val="KBCoverTableRight"/>
    <w:basedOn w:val="Normal"/>
    <w:qFormat/>
    <w:rsid w:val="007707E3"/>
    <w:pPr>
      <w:jc w:val="right"/>
    </w:pPr>
    <w:rPr>
      <w:kern w:val="12"/>
      <w:sz w:val="12"/>
    </w:rPr>
  </w:style>
  <w:style w:type="paragraph" w:customStyle="1" w:styleId="KBIndustryName">
    <w:name w:val="KBIndustryName"/>
    <w:basedOn w:val="Normal"/>
    <w:qFormat/>
    <w:rsid w:val="007707E3"/>
    <w:rPr>
      <w:rFonts w:ascii="KBFG Display Bold" w:eastAsia="KBFG Display Bold" w:hAnsi="KBFG Display Bold"/>
      <w:kern w:val="50"/>
      <w:sz w:val="50"/>
      <w:szCs w:val="44"/>
    </w:rPr>
  </w:style>
  <w:style w:type="paragraph" w:customStyle="1" w:styleId="KBMainBodySmall">
    <w:name w:val="KBMainBodySmall"/>
    <w:basedOn w:val="Normal"/>
    <w:next w:val="Normal"/>
    <w:qFormat/>
    <w:rsid w:val="007707E3"/>
    <w:pPr>
      <w:widowControl/>
      <w:autoSpaceDE/>
      <w:autoSpaceDN/>
      <w:adjustRightInd/>
      <w:snapToGrid/>
    </w:pPr>
    <w:rPr>
      <w:rFonts w:cs="Batang"/>
      <w:sz w:val="16"/>
      <w:szCs w:val="18"/>
    </w:rPr>
  </w:style>
  <w:style w:type="paragraph" w:customStyle="1" w:styleId="KBRating">
    <w:name w:val="KBRating"/>
    <w:basedOn w:val="Normal"/>
    <w:qFormat/>
    <w:rsid w:val="007707E3"/>
    <w:rPr>
      <w:rFonts w:ascii="KBFG Display Bold" w:eastAsia="KBFG Display Bold" w:hAnsi="KBFG Display Bold"/>
      <w:sz w:val="40"/>
    </w:rPr>
  </w:style>
  <w:style w:type="character" w:customStyle="1" w:styleId="KBRatingChange">
    <w:name w:val="KBRatingChange"/>
    <w:qFormat/>
    <w:rsid w:val="007707E3"/>
    <w:rPr>
      <w:rFonts w:ascii="KBFG Text Light" w:eastAsia="KBFG Text Light" w:hAnsi="KBFG Text Light"/>
      <w:caps w:val="0"/>
      <w:smallCaps w:val="0"/>
      <w:strike w:val="0"/>
      <w:dstrike w:val="0"/>
      <w:snapToGrid w:val="0"/>
      <w:vanish w:val="0"/>
      <w:spacing w:val="0"/>
      <w:w w:val="100"/>
      <w:kern w:val="18"/>
      <w:position w:val="12"/>
      <w:sz w:val="18"/>
      <w:vertAlign w:val="baseline"/>
    </w:rPr>
  </w:style>
  <w:style w:type="paragraph" w:customStyle="1" w:styleId="KBRatingTP">
    <w:name w:val="KBRatingTP"/>
    <w:basedOn w:val="Normal"/>
    <w:qFormat/>
    <w:rsid w:val="007707E3"/>
    <w:rPr>
      <w:rFonts w:ascii="KBFG Text Bold" w:eastAsia="KBFG Text Bold" w:hAnsi="KBFG Text Bold"/>
      <w:position w:val="8"/>
      <w:szCs w:val="18"/>
    </w:rPr>
  </w:style>
  <w:style w:type="paragraph" w:customStyle="1" w:styleId="KBSource">
    <w:name w:val="KBSource"/>
    <w:basedOn w:val="Normal"/>
    <w:qFormat/>
    <w:rsid w:val="007707E3"/>
    <w:pPr>
      <w:widowControl/>
    </w:pPr>
    <w:rPr>
      <w:rFonts w:cs="Gulim"/>
      <w:kern w:val="12"/>
      <w:sz w:val="12"/>
      <w:szCs w:val="12"/>
    </w:rPr>
  </w:style>
  <w:style w:type="paragraph" w:styleId="BalloonText">
    <w:name w:val="Balloon Text"/>
    <w:basedOn w:val="Normal"/>
    <w:link w:val="BalloonTextChar"/>
    <w:uiPriority w:val="99"/>
    <w:semiHidden/>
    <w:unhideWhenUsed/>
    <w:rsid w:val="00FA5610"/>
    <w:rPr>
      <w:rFonts w:ascii="Segoe UI" w:hAnsi="Segoe UI" w:cs="Segoe UI"/>
      <w:szCs w:val="18"/>
    </w:rPr>
  </w:style>
  <w:style w:type="character" w:customStyle="1" w:styleId="BalloonTextChar">
    <w:name w:val="Balloon Text Char"/>
    <w:basedOn w:val="DefaultParagraphFont"/>
    <w:link w:val="BalloonText"/>
    <w:uiPriority w:val="99"/>
    <w:semiHidden/>
    <w:rsid w:val="00FA5610"/>
    <w:rPr>
      <w:rFonts w:ascii="Segoe UI" w:eastAsia="KBFG Text Light" w:hAnsi="Segoe UI" w:cs="Segoe UI"/>
      <w:snapToGrid w:val="0"/>
      <w:sz w:val="18"/>
      <w:szCs w:val="18"/>
    </w:rPr>
  </w:style>
  <w:style w:type="paragraph" w:customStyle="1" w:styleId="VKBBackCoverBold">
    <w:name w:val="V_KBBackCoverBold"/>
    <w:basedOn w:val="Normal"/>
    <w:qFormat/>
    <w:rsid w:val="001D6DB8"/>
    <w:pPr>
      <w:framePr w:hSpace="142" w:wrap="around" w:vAnchor="text" w:hAnchor="text" w:y="1"/>
      <w:spacing w:before="80" w:line="276" w:lineRule="auto"/>
      <w:suppressOverlap/>
    </w:pPr>
    <w:rPr>
      <w:rFonts w:ascii="Source Sans Pro SemiBold" w:eastAsia="KBFG Text Bold" w:hAnsi="Source Sans Pro SemiBold" w:cs="KB금융 본문체 Bold"/>
      <w:kern w:val="12"/>
      <w:sz w:val="16"/>
      <w:szCs w:val="14"/>
    </w:rPr>
  </w:style>
  <w:style w:type="paragraph" w:customStyle="1" w:styleId="VKBBackCoverLight">
    <w:name w:val="V_KBBackCoverLight"/>
    <w:basedOn w:val="Normal"/>
    <w:qFormat/>
    <w:rsid w:val="001D6DB8"/>
    <w:pPr>
      <w:framePr w:hSpace="142" w:wrap="around" w:vAnchor="text" w:hAnchor="text" w:y="1"/>
      <w:spacing w:line="276" w:lineRule="auto"/>
      <w:contextualSpacing/>
      <w:suppressOverlap/>
    </w:pPr>
    <w:rPr>
      <w:rFonts w:ascii="Source Sans Pro" w:hAnsi="Source Sans Pro" w:cs="KB금융 본문체 Light"/>
      <w:kern w:val="12"/>
      <w:sz w:val="16"/>
      <w:szCs w:val="14"/>
    </w:rPr>
  </w:style>
  <w:style w:type="character" w:styleId="Hyperlink">
    <w:name w:val="Hyperlink"/>
    <w:basedOn w:val="DefaultParagraphFont"/>
    <w:uiPriority w:val="99"/>
    <w:unhideWhenUsed/>
    <w:rsid w:val="00BC1B3A"/>
    <w:rPr>
      <w:color w:val="0563C1" w:themeColor="hyperlink"/>
      <w:u w:val="single"/>
    </w:rPr>
  </w:style>
  <w:style w:type="character" w:customStyle="1" w:styleId="UnresolvedMention1">
    <w:name w:val="Unresolved Mention1"/>
    <w:basedOn w:val="DefaultParagraphFont"/>
    <w:uiPriority w:val="99"/>
    <w:semiHidden/>
    <w:unhideWhenUsed/>
    <w:rsid w:val="00BC1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016454">
      <w:bodyDiv w:val="1"/>
      <w:marLeft w:val="0"/>
      <w:marRight w:val="0"/>
      <w:marTop w:val="0"/>
      <w:marBottom w:val="0"/>
      <w:divBdr>
        <w:top w:val="none" w:sz="0" w:space="0" w:color="auto"/>
        <w:left w:val="none" w:sz="0" w:space="0" w:color="auto"/>
        <w:bottom w:val="none" w:sz="0" w:space="0" w:color="auto"/>
        <w:right w:val="none" w:sz="0" w:space="0" w:color="auto"/>
      </w:divBdr>
    </w:div>
    <w:div w:id="622732067">
      <w:bodyDiv w:val="1"/>
      <w:marLeft w:val="0"/>
      <w:marRight w:val="0"/>
      <w:marTop w:val="0"/>
      <w:marBottom w:val="0"/>
      <w:divBdr>
        <w:top w:val="none" w:sz="0" w:space="0" w:color="auto"/>
        <w:left w:val="none" w:sz="0" w:space="0" w:color="auto"/>
        <w:bottom w:val="none" w:sz="0" w:space="0" w:color="auto"/>
        <w:right w:val="none" w:sz="0" w:space="0" w:color="auto"/>
      </w:divBdr>
    </w:div>
    <w:div w:id="1585919872">
      <w:bodyDiv w:val="1"/>
      <w:marLeft w:val="0"/>
      <w:marRight w:val="0"/>
      <w:marTop w:val="0"/>
      <w:marBottom w:val="0"/>
      <w:divBdr>
        <w:top w:val="none" w:sz="0" w:space="0" w:color="auto"/>
        <w:left w:val="none" w:sz="0" w:space="0" w:color="auto"/>
        <w:bottom w:val="none" w:sz="0" w:space="0" w:color="auto"/>
        <w:right w:val="none" w:sz="0" w:space="0" w:color="auto"/>
      </w:divBdr>
    </w:div>
    <w:div w:id="211107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c@kbsec.com.v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13.%20Templates\Templates_English\FTM_EN1.do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B7E07-8784-4249-A7C7-8A09CF1B7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FTM_EN1</Template>
  <TotalTime>25</TotalTime>
  <Pages>3</Pages>
  <Words>912</Words>
  <Characters>5200</Characters>
  <Application>Microsoft Office Word</Application>
  <DocSecurity>0</DocSecurity>
  <Lines>43</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Nguyen Thi (Research)</dc:creator>
  <cp:keywords/>
  <cp:lastModifiedBy>Huong Nguyen Thi (Research)</cp:lastModifiedBy>
  <cp:revision>127</cp:revision>
  <cp:lastPrinted>2019-10-03T06:39:00Z</cp:lastPrinted>
  <dcterms:created xsi:type="dcterms:W3CDTF">2024-02-02T01:55:00Z</dcterms:created>
  <dcterms:modified xsi:type="dcterms:W3CDTF">2024-02-02T03:11:00Z</dcterms:modified>
</cp:coreProperties>
</file>